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6941" w14:textId="77777777" w:rsidR="007876AE" w:rsidRPr="00CF0A98" w:rsidRDefault="007876AE">
      <w:pPr>
        <w:pStyle w:val="TableofContentsTitle"/>
        <w:rPr>
          <w:rFonts w:cs="Arial"/>
        </w:rPr>
      </w:pPr>
      <w:r w:rsidRPr="00CF0A98">
        <w:rPr>
          <w:rFonts w:cs="Arial"/>
        </w:rPr>
        <w:t>TABLE OF CONTENTS</w:t>
      </w:r>
    </w:p>
    <w:p w14:paraId="63666942" w14:textId="77777777" w:rsidR="006A7642" w:rsidRPr="006A7642" w:rsidRDefault="00A85A1A">
      <w:pPr>
        <w:pStyle w:val="TOC1"/>
        <w:tabs>
          <w:tab w:val="left" w:pos="810"/>
          <w:tab w:val="right" w:leader="dot" w:pos="9350"/>
        </w:tabs>
        <w:rPr>
          <w:rFonts w:ascii="Arial" w:eastAsiaTheme="minorEastAsia" w:hAnsi="Arial" w:cs="Arial"/>
          <w:caps w:val="0"/>
          <w:noProof/>
          <w:sz w:val="22"/>
          <w:szCs w:val="22"/>
        </w:rPr>
      </w:pPr>
      <w:r w:rsidRPr="006A7642">
        <w:rPr>
          <w:rFonts w:ascii="Arial" w:hAnsi="Arial" w:cs="Arial"/>
        </w:rPr>
        <w:fldChar w:fldCharType="begin"/>
      </w:r>
      <w:r w:rsidR="007876AE" w:rsidRPr="006A7642">
        <w:rPr>
          <w:rFonts w:ascii="Arial" w:hAnsi="Arial" w:cs="Arial"/>
        </w:rPr>
        <w:instrText xml:space="preserve"> TOC \o "2-2" \h \z \t "Heading 1,1,Appendix Heading,1,ANNEX-heading1,2" </w:instrText>
      </w:r>
      <w:r w:rsidRPr="006A7642">
        <w:rPr>
          <w:rFonts w:ascii="Arial" w:hAnsi="Arial" w:cs="Arial"/>
        </w:rPr>
        <w:fldChar w:fldCharType="separate"/>
      </w:r>
      <w:hyperlink w:anchor="_Toc328741365" w:history="1">
        <w:r w:rsidR="006A7642" w:rsidRPr="006A7642">
          <w:rPr>
            <w:rStyle w:val="Hyperlink"/>
            <w:rFonts w:ascii="Arial" w:hAnsi="Arial" w:cs="Arial"/>
            <w:noProof/>
          </w:rPr>
          <w:t>1.0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rPr>
          <w:t>PURPOSE</w:t>
        </w:r>
        <w:r w:rsidR="006A7642" w:rsidRPr="006A7642">
          <w:rPr>
            <w:rFonts w:ascii="Arial" w:hAnsi="Arial" w:cs="Arial"/>
            <w:noProof/>
            <w:webHidden/>
          </w:rPr>
          <w:tab/>
        </w:r>
        <w:r w:rsidRPr="006A7642">
          <w:rPr>
            <w:rFonts w:ascii="Arial" w:hAnsi="Arial" w:cs="Arial"/>
            <w:noProof/>
            <w:webHidden/>
          </w:rPr>
          <w:fldChar w:fldCharType="begin"/>
        </w:r>
        <w:r w:rsidR="006A7642" w:rsidRPr="006A7642">
          <w:rPr>
            <w:rFonts w:ascii="Arial" w:hAnsi="Arial" w:cs="Arial"/>
            <w:noProof/>
            <w:webHidden/>
          </w:rPr>
          <w:instrText xml:space="preserve"> PAGEREF _Toc328741365 \h </w:instrText>
        </w:r>
        <w:r w:rsidRPr="006A7642">
          <w:rPr>
            <w:rFonts w:ascii="Arial" w:hAnsi="Arial" w:cs="Arial"/>
            <w:noProof/>
            <w:webHidden/>
          </w:rPr>
        </w:r>
        <w:r w:rsidRPr="006A7642">
          <w:rPr>
            <w:rFonts w:ascii="Arial" w:hAnsi="Arial" w:cs="Arial"/>
            <w:noProof/>
            <w:webHidden/>
          </w:rPr>
          <w:fldChar w:fldCharType="separate"/>
        </w:r>
        <w:r w:rsidR="00080897">
          <w:rPr>
            <w:rFonts w:ascii="Arial" w:hAnsi="Arial" w:cs="Arial"/>
            <w:noProof/>
            <w:webHidden/>
          </w:rPr>
          <w:t>1</w:t>
        </w:r>
        <w:r w:rsidRPr="006A7642">
          <w:rPr>
            <w:rFonts w:ascii="Arial" w:hAnsi="Arial" w:cs="Arial"/>
            <w:noProof/>
            <w:webHidden/>
          </w:rPr>
          <w:fldChar w:fldCharType="end"/>
        </w:r>
      </w:hyperlink>
    </w:p>
    <w:p w14:paraId="63666943" w14:textId="77777777" w:rsidR="006A7642" w:rsidRPr="006A7642" w:rsidRDefault="007C11CC">
      <w:pPr>
        <w:pStyle w:val="TOC1"/>
        <w:tabs>
          <w:tab w:val="left" w:pos="810"/>
          <w:tab w:val="right" w:leader="dot" w:pos="9350"/>
        </w:tabs>
        <w:rPr>
          <w:rFonts w:ascii="Arial" w:eastAsiaTheme="minorEastAsia" w:hAnsi="Arial" w:cs="Arial"/>
          <w:caps w:val="0"/>
          <w:noProof/>
          <w:sz w:val="22"/>
          <w:szCs w:val="22"/>
        </w:rPr>
      </w:pPr>
      <w:hyperlink w:anchor="_Toc328741366" w:history="1">
        <w:r w:rsidR="006A7642" w:rsidRPr="006A7642">
          <w:rPr>
            <w:rStyle w:val="Hyperlink"/>
            <w:rFonts w:ascii="Arial" w:hAnsi="Arial" w:cs="Arial"/>
            <w:noProof/>
          </w:rPr>
          <w:t>2.0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rPr>
          <w:t>SCOPE</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_Toc328741366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1</w:t>
        </w:r>
        <w:r w:rsidR="00A85A1A" w:rsidRPr="006A7642">
          <w:rPr>
            <w:rFonts w:ascii="Arial" w:hAnsi="Arial" w:cs="Arial"/>
            <w:noProof/>
            <w:webHidden/>
          </w:rPr>
          <w:fldChar w:fldCharType="end"/>
        </w:r>
      </w:hyperlink>
    </w:p>
    <w:p w14:paraId="63666944" w14:textId="77777777" w:rsidR="006A7642" w:rsidRPr="006A7642" w:rsidRDefault="007C11CC">
      <w:pPr>
        <w:pStyle w:val="TOC1"/>
        <w:tabs>
          <w:tab w:val="left" w:pos="810"/>
          <w:tab w:val="right" w:leader="dot" w:pos="9350"/>
        </w:tabs>
        <w:rPr>
          <w:rFonts w:ascii="Arial" w:eastAsiaTheme="minorEastAsia" w:hAnsi="Arial" w:cs="Arial"/>
          <w:caps w:val="0"/>
          <w:noProof/>
          <w:sz w:val="22"/>
          <w:szCs w:val="22"/>
        </w:rPr>
      </w:pPr>
      <w:hyperlink w:anchor="_Toc328741367" w:history="1">
        <w:r w:rsidR="006A7642" w:rsidRPr="006A7642">
          <w:rPr>
            <w:rStyle w:val="Hyperlink"/>
            <w:rFonts w:ascii="Arial" w:hAnsi="Arial" w:cs="Arial"/>
            <w:noProof/>
          </w:rPr>
          <w:t>3.0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rPr>
          <w:t>reference documents</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_Toc328741367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1</w:t>
        </w:r>
        <w:r w:rsidR="00A85A1A" w:rsidRPr="006A7642">
          <w:rPr>
            <w:rFonts w:ascii="Arial" w:hAnsi="Arial" w:cs="Arial"/>
            <w:noProof/>
            <w:webHidden/>
          </w:rPr>
          <w:fldChar w:fldCharType="end"/>
        </w:r>
      </w:hyperlink>
    </w:p>
    <w:p w14:paraId="63666945" w14:textId="77777777" w:rsidR="006A7642" w:rsidRPr="006A7642" w:rsidRDefault="007C11CC">
      <w:pPr>
        <w:pStyle w:val="TOC1"/>
        <w:tabs>
          <w:tab w:val="left" w:pos="810"/>
          <w:tab w:val="right" w:leader="dot" w:pos="9350"/>
        </w:tabs>
        <w:rPr>
          <w:rFonts w:ascii="Arial" w:eastAsiaTheme="minorEastAsia" w:hAnsi="Arial" w:cs="Arial"/>
          <w:caps w:val="0"/>
          <w:noProof/>
          <w:sz w:val="22"/>
          <w:szCs w:val="22"/>
        </w:rPr>
      </w:pPr>
      <w:hyperlink w:anchor="_Toc328741369" w:history="1">
        <w:r w:rsidR="006A7642" w:rsidRPr="006A7642">
          <w:rPr>
            <w:rStyle w:val="Hyperlink"/>
            <w:rFonts w:ascii="Arial" w:hAnsi="Arial" w:cs="Arial"/>
            <w:noProof/>
          </w:rPr>
          <w:t>4.0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rPr>
          <w:t>definitions</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_Toc328741369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1</w:t>
        </w:r>
        <w:r w:rsidR="00A85A1A" w:rsidRPr="006A7642">
          <w:rPr>
            <w:rFonts w:ascii="Arial" w:hAnsi="Arial" w:cs="Arial"/>
            <w:noProof/>
            <w:webHidden/>
          </w:rPr>
          <w:fldChar w:fldCharType="end"/>
        </w:r>
      </w:hyperlink>
    </w:p>
    <w:p w14:paraId="63666946" w14:textId="77777777" w:rsidR="006A7642" w:rsidRPr="006A7642" w:rsidRDefault="007C11CC">
      <w:pPr>
        <w:pStyle w:val="TOC1"/>
        <w:tabs>
          <w:tab w:val="left" w:pos="810"/>
          <w:tab w:val="right" w:leader="dot" w:pos="9350"/>
        </w:tabs>
        <w:rPr>
          <w:rFonts w:ascii="Arial" w:eastAsiaTheme="minorEastAsia" w:hAnsi="Arial" w:cs="Arial"/>
          <w:caps w:val="0"/>
          <w:noProof/>
          <w:sz w:val="22"/>
          <w:szCs w:val="22"/>
        </w:rPr>
      </w:pPr>
      <w:hyperlink w:anchor="_Toc328741370" w:history="1">
        <w:r w:rsidR="006A7642" w:rsidRPr="006A7642">
          <w:rPr>
            <w:rStyle w:val="Hyperlink"/>
            <w:rFonts w:ascii="Arial" w:hAnsi="Arial" w:cs="Arial"/>
            <w:noProof/>
          </w:rPr>
          <w:t>5.0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rPr>
          <w:t>REQUIREMENTS</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_Toc328741370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1</w:t>
        </w:r>
        <w:r w:rsidR="00A85A1A" w:rsidRPr="006A7642">
          <w:rPr>
            <w:rFonts w:ascii="Arial" w:hAnsi="Arial" w:cs="Arial"/>
            <w:noProof/>
            <w:webHidden/>
          </w:rPr>
          <w:fldChar w:fldCharType="end"/>
        </w:r>
      </w:hyperlink>
    </w:p>
    <w:p w14:paraId="63666947" w14:textId="77777777" w:rsidR="006A7642" w:rsidRPr="006A7642" w:rsidRDefault="007C11CC">
      <w:pPr>
        <w:pStyle w:val="TOC2"/>
        <w:rPr>
          <w:rFonts w:ascii="Arial" w:eastAsiaTheme="minorEastAsia" w:hAnsi="Arial" w:cs="Arial"/>
          <w:noProof/>
          <w:sz w:val="22"/>
          <w:szCs w:val="22"/>
        </w:rPr>
      </w:pPr>
      <w:hyperlink w:anchor="_Toc328741371" w:history="1">
        <w:r w:rsidR="006A7642" w:rsidRPr="006A7642">
          <w:rPr>
            <w:rStyle w:val="Hyperlink"/>
            <w:rFonts w:ascii="Arial" w:hAnsi="Arial" w:cs="Arial"/>
            <w:noProof/>
          </w:rPr>
          <w:t>5.1</w:t>
        </w:r>
        <w:r w:rsidR="006A7642" w:rsidRPr="006A7642">
          <w:rPr>
            <w:rFonts w:ascii="Arial" w:eastAsiaTheme="minorEastAsia" w:hAnsi="Arial" w:cs="Arial"/>
            <w:noProof/>
            <w:sz w:val="22"/>
            <w:szCs w:val="22"/>
          </w:rPr>
          <w:tab/>
        </w:r>
        <w:r w:rsidR="006A7642" w:rsidRPr="006A7642">
          <w:rPr>
            <w:rStyle w:val="Hyperlink"/>
            <w:rFonts w:ascii="Arial" w:hAnsi="Arial" w:cs="Arial"/>
            <w:noProof/>
          </w:rPr>
          <w:t>Equipment Installation Process</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_Toc328741371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1</w:t>
        </w:r>
        <w:r w:rsidR="00A85A1A" w:rsidRPr="006A7642">
          <w:rPr>
            <w:rFonts w:ascii="Arial" w:hAnsi="Arial" w:cs="Arial"/>
            <w:noProof/>
            <w:webHidden/>
          </w:rPr>
          <w:fldChar w:fldCharType="end"/>
        </w:r>
      </w:hyperlink>
    </w:p>
    <w:p w14:paraId="63666948" w14:textId="77777777" w:rsidR="006A7642" w:rsidRPr="006A7642" w:rsidRDefault="007C11CC">
      <w:pPr>
        <w:pStyle w:val="TOC2"/>
        <w:rPr>
          <w:rFonts w:ascii="Arial" w:eastAsiaTheme="minorEastAsia" w:hAnsi="Arial" w:cs="Arial"/>
          <w:noProof/>
          <w:sz w:val="22"/>
          <w:szCs w:val="22"/>
        </w:rPr>
      </w:pPr>
      <w:hyperlink w:anchor="_Toc328741372" w:history="1">
        <w:r w:rsidR="006A7642" w:rsidRPr="006A7642">
          <w:rPr>
            <w:rStyle w:val="Hyperlink"/>
            <w:rFonts w:ascii="Arial" w:hAnsi="Arial" w:cs="Arial"/>
            <w:noProof/>
          </w:rPr>
          <w:t>5.2</w:t>
        </w:r>
        <w:r w:rsidR="006A7642" w:rsidRPr="006A7642">
          <w:rPr>
            <w:rFonts w:ascii="Arial" w:eastAsiaTheme="minorEastAsia" w:hAnsi="Arial" w:cs="Arial"/>
            <w:noProof/>
            <w:sz w:val="22"/>
            <w:szCs w:val="22"/>
          </w:rPr>
          <w:tab/>
        </w:r>
        <w:r w:rsidR="006A7642" w:rsidRPr="006A7642">
          <w:rPr>
            <w:rStyle w:val="Hyperlink"/>
            <w:rFonts w:ascii="Arial" w:hAnsi="Arial" w:cs="Arial"/>
            <w:noProof/>
          </w:rPr>
          <w:t>Training</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_Toc328741372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3</w:t>
        </w:r>
        <w:r w:rsidR="00A85A1A" w:rsidRPr="006A7642">
          <w:rPr>
            <w:rFonts w:ascii="Arial" w:hAnsi="Arial" w:cs="Arial"/>
            <w:noProof/>
            <w:webHidden/>
          </w:rPr>
          <w:fldChar w:fldCharType="end"/>
        </w:r>
      </w:hyperlink>
    </w:p>
    <w:p w14:paraId="63666949" w14:textId="77777777" w:rsidR="006A7642" w:rsidRPr="006A7642" w:rsidRDefault="007C11CC">
      <w:pPr>
        <w:pStyle w:val="TOC2"/>
        <w:rPr>
          <w:rFonts w:ascii="Arial" w:eastAsiaTheme="minorEastAsia" w:hAnsi="Arial" w:cs="Arial"/>
          <w:noProof/>
          <w:sz w:val="22"/>
          <w:szCs w:val="22"/>
        </w:rPr>
      </w:pPr>
      <w:hyperlink w:anchor="_Toc328741373" w:history="1">
        <w:r w:rsidR="006A7642" w:rsidRPr="006A7642">
          <w:rPr>
            <w:rStyle w:val="Hyperlink"/>
            <w:rFonts w:ascii="Arial" w:hAnsi="Arial" w:cs="Arial"/>
            <w:noProof/>
          </w:rPr>
          <w:t>5.3</w:t>
        </w:r>
        <w:r w:rsidR="006A7642" w:rsidRPr="006A7642">
          <w:rPr>
            <w:rFonts w:ascii="Arial" w:eastAsiaTheme="minorEastAsia" w:hAnsi="Arial" w:cs="Arial"/>
            <w:noProof/>
            <w:sz w:val="22"/>
            <w:szCs w:val="22"/>
          </w:rPr>
          <w:tab/>
        </w:r>
        <w:r w:rsidR="006A7642" w:rsidRPr="006A7642">
          <w:rPr>
            <w:rStyle w:val="Hyperlink"/>
            <w:rFonts w:ascii="Arial" w:hAnsi="Arial" w:cs="Arial"/>
            <w:noProof/>
          </w:rPr>
          <w:t>Records</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_Toc328741373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3</w:t>
        </w:r>
        <w:r w:rsidR="00A85A1A" w:rsidRPr="006A7642">
          <w:rPr>
            <w:rFonts w:ascii="Arial" w:hAnsi="Arial" w:cs="Arial"/>
            <w:noProof/>
            <w:webHidden/>
          </w:rPr>
          <w:fldChar w:fldCharType="end"/>
        </w:r>
      </w:hyperlink>
    </w:p>
    <w:p w14:paraId="6366694A" w14:textId="77777777" w:rsidR="006A7642" w:rsidRPr="006A7642" w:rsidRDefault="007C11CC">
      <w:pPr>
        <w:pStyle w:val="TOC1"/>
        <w:tabs>
          <w:tab w:val="left" w:pos="810"/>
          <w:tab w:val="right" w:leader="dot" w:pos="9350"/>
        </w:tabs>
        <w:rPr>
          <w:rFonts w:ascii="Arial" w:eastAsiaTheme="minorEastAsia" w:hAnsi="Arial" w:cs="Arial"/>
          <w:caps w:val="0"/>
          <w:noProof/>
          <w:sz w:val="22"/>
          <w:szCs w:val="22"/>
        </w:rPr>
      </w:pPr>
      <w:hyperlink w:anchor="_Toc328741374" w:history="1">
        <w:r w:rsidR="006A7642" w:rsidRPr="006A7642">
          <w:rPr>
            <w:rStyle w:val="Hyperlink"/>
            <w:rFonts w:ascii="Arial" w:hAnsi="Arial" w:cs="Arial"/>
            <w:noProof/>
          </w:rPr>
          <w:t>6.0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snapToGrid w:val="0"/>
          </w:rPr>
          <w:t xml:space="preserve">standard </w:t>
        </w:r>
        <w:r w:rsidR="006A7642" w:rsidRPr="006A7642">
          <w:rPr>
            <w:rStyle w:val="Hyperlink"/>
            <w:rFonts w:ascii="Arial" w:hAnsi="Arial" w:cs="Arial"/>
            <w:noProof/>
          </w:rPr>
          <w:t>Approval</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_Toc328741374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3</w:t>
        </w:r>
        <w:r w:rsidR="00A85A1A" w:rsidRPr="006A7642">
          <w:rPr>
            <w:rFonts w:ascii="Arial" w:hAnsi="Arial" w:cs="Arial"/>
            <w:noProof/>
            <w:webHidden/>
          </w:rPr>
          <w:fldChar w:fldCharType="end"/>
        </w:r>
      </w:hyperlink>
    </w:p>
    <w:p w14:paraId="6366694B" w14:textId="77777777" w:rsidR="006A7642" w:rsidRPr="006A7642" w:rsidRDefault="007C11CC">
      <w:pPr>
        <w:pStyle w:val="TOC1"/>
        <w:tabs>
          <w:tab w:val="left" w:pos="810"/>
          <w:tab w:val="right" w:leader="dot" w:pos="9350"/>
        </w:tabs>
        <w:rPr>
          <w:rFonts w:ascii="Arial" w:eastAsiaTheme="minorEastAsia" w:hAnsi="Arial" w:cs="Arial"/>
          <w:caps w:val="0"/>
          <w:noProof/>
          <w:sz w:val="22"/>
          <w:szCs w:val="22"/>
        </w:rPr>
      </w:pPr>
      <w:hyperlink w:anchor="_Toc328741375" w:history="1">
        <w:r w:rsidR="006A7642" w:rsidRPr="006A7642">
          <w:rPr>
            <w:rStyle w:val="Hyperlink"/>
            <w:rFonts w:ascii="Arial" w:hAnsi="Arial" w:cs="Arial"/>
            <w:noProof/>
          </w:rPr>
          <w:t>7.0</w:t>
        </w:r>
        <w:r w:rsidR="006A7642" w:rsidRPr="006A7642">
          <w:rPr>
            <w:rFonts w:ascii="Arial" w:eastAsiaTheme="minorEastAsia" w:hAnsi="Arial" w:cs="Arial"/>
            <w:caps w:val="0"/>
            <w:noProof/>
            <w:sz w:val="22"/>
            <w:szCs w:val="22"/>
          </w:rPr>
          <w:tab/>
        </w:r>
        <w:r w:rsidR="006A7642" w:rsidRPr="006A7642">
          <w:rPr>
            <w:rStyle w:val="Hyperlink"/>
            <w:rFonts w:ascii="Arial" w:hAnsi="Arial" w:cs="Arial"/>
            <w:noProof/>
          </w:rPr>
          <w:t>Revision History</w:t>
        </w:r>
        <w:r w:rsidR="006A7642" w:rsidRPr="006A7642">
          <w:rPr>
            <w:rFonts w:ascii="Arial" w:hAnsi="Arial" w:cs="Arial"/>
            <w:noProof/>
            <w:webHidden/>
          </w:rPr>
          <w:tab/>
        </w:r>
        <w:r w:rsidR="00A85A1A" w:rsidRPr="006A7642">
          <w:rPr>
            <w:rFonts w:ascii="Arial" w:hAnsi="Arial" w:cs="Arial"/>
            <w:noProof/>
            <w:webHidden/>
          </w:rPr>
          <w:fldChar w:fldCharType="begin"/>
        </w:r>
        <w:r w:rsidR="006A7642" w:rsidRPr="006A7642">
          <w:rPr>
            <w:rFonts w:ascii="Arial" w:hAnsi="Arial" w:cs="Arial"/>
            <w:noProof/>
            <w:webHidden/>
          </w:rPr>
          <w:instrText xml:space="preserve"> PAGEREF _Toc328741375 \h </w:instrText>
        </w:r>
        <w:r w:rsidR="00A85A1A" w:rsidRPr="006A7642">
          <w:rPr>
            <w:rFonts w:ascii="Arial" w:hAnsi="Arial" w:cs="Arial"/>
            <w:noProof/>
            <w:webHidden/>
          </w:rPr>
        </w:r>
        <w:r w:rsidR="00A85A1A" w:rsidRPr="006A7642">
          <w:rPr>
            <w:rFonts w:ascii="Arial" w:hAnsi="Arial" w:cs="Arial"/>
            <w:noProof/>
            <w:webHidden/>
          </w:rPr>
          <w:fldChar w:fldCharType="separate"/>
        </w:r>
        <w:r w:rsidR="00080897">
          <w:rPr>
            <w:rFonts w:ascii="Arial" w:hAnsi="Arial" w:cs="Arial"/>
            <w:noProof/>
            <w:webHidden/>
          </w:rPr>
          <w:t>3</w:t>
        </w:r>
        <w:r w:rsidR="00A85A1A" w:rsidRPr="006A7642">
          <w:rPr>
            <w:rFonts w:ascii="Arial" w:hAnsi="Arial" w:cs="Arial"/>
            <w:noProof/>
            <w:webHidden/>
          </w:rPr>
          <w:fldChar w:fldCharType="end"/>
        </w:r>
      </w:hyperlink>
    </w:p>
    <w:p w14:paraId="6366694C" w14:textId="77777777" w:rsidR="007876AE" w:rsidRPr="006A7642" w:rsidRDefault="00A85A1A">
      <w:pPr>
        <w:pStyle w:val="TOC1"/>
        <w:rPr>
          <w:rFonts w:ascii="Arial" w:hAnsi="Arial" w:cs="Arial"/>
        </w:rPr>
      </w:pPr>
      <w:r w:rsidRPr="006A7642">
        <w:rPr>
          <w:rFonts w:ascii="Arial" w:hAnsi="Arial" w:cs="Arial"/>
        </w:rPr>
        <w:fldChar w:fldCharType="end"/>
      </w:r>
    </w:p>
    <w:p w14:paraId="6366694D" w14:textId="77777777" w:rsidR="00272523" w:rsidRPr="00CF0A98" w:rsidRDefault="00272523" w:rsidP="00272523">
      <w:pPr>
        <w:pStyle w:val="Heading1"/>
        <w:tabs>
          <w:tab w:val="num" w:pos="432"/>
        </w:tabs>
        <w:rPr>
          <w:rFonts w:cs="Arial"/>
        </w:rPr>
      </w:pPr>
      <w:bookmarkStart w:id="0" w:name="_Toc326915982"/>
      <w:bookmarkStart w:id="1" w:name="_Toc328741365"/>
      <w:r w:rsidRPr="00CF0A98">
        <w:rPr>
          <w:rFonts w:cs="Arial"/>
        </w:rPr>
        <w:t>PURPOSE</w:t>
      </w:r>
      <w:bookmarkEnd w:id="0"/>
      <w:bookmarkEnd w:id="1"/>
    </w:p>
    <w:p w14:paraId="6366694E" w14:textId="77777777" w:rsidR="00272523" w:rsidRPr="00CF0A98" w:rsidRDefault="00272523" w:rsidP="00272523">
      <w:pPr>
        <w:pStyle w:val="BodyTextIndent"/>
        <w:rPr>
          <w:rFonts w:ascii="Arial" w:hAnsi="Arial" w:cs="Arial"/>
        </w:rPr>
      </w:pPr>
      <w:r w:rsidRPr="00CF0A98">
        <w:rPr>
          <w:rFonts w:ascii="Arial" w:hAnsi="Arial" w:cs="Arial"/>
        </w:rPr>
        <w:t>Establish minimum equipment installation requirements for protection of human health and the environment f</w:t>
      </w:r>
      <w:r w:rsidR="00DA1DCD">
        <w:rPr>
          <w:rFonts w:ascii="Arial" w:hAnsi="Arial" w:cs="Arial"/>
        </w:rPr>
        <w:t xml:space="preserve">rom hazards associated with </w:t>
      </w:r>
      <w:r w:rsidRPr="00CF0A98">
        <w:rPr>
          <w:rFonts w:ascii="Arial" w:hAnsi="Arial" w:cs="Arial"/>
        </w:rPr>
        <w:t>manufacturing and support equipment/machines.</w:t>
      </w:r>
    </w:p>
    <w:p w14:paraId="6366694F" w14:textId="77777777" w:rsidR="00384553" w:rsidRPr="00CF0A98" w:rsidRDefault="00384553" w:rsidP="00272523">
      <w:pPr>
        <w:pStyle w:val="BodyTextIndent"/>
        <w:rPr>
          <w:rFonts w:ascii="Arial" w:hAnsi="Arial" w:cs="Arial"/>
        </w:rPr>
      </w:pPr>
    </w:p>
    <w:p w14:paraId="63666950" w14:textId="77777777" w:rsidR="00272523" w:rsidRPr="00CF0A98" w:rsidRDefault="00272523" w:rsidP="00272523">
      <w:pPr>
        <w:pStyle w:val="Heading1"/>
        <w:tabs>
          <w:tab w:val="num" w:pos="432"/>
        </w:tabs>
        <w:rPr>
          <w:rFonts w:cs="Arial"/>
        </w:rPr>
      </w:pPr>
      <w:bookmarkStart w:id="2" w:name="_Toc326915983"/>
      <w:bookmarkStart w:id="3" w:name="_Toc328741366"/>
      <w:r w:rsidRPr="00CF0A98">
        <w:rPr>
          <w:rFonts w:cs="Arial"/>
        </w:rPr>
        <w:t>SCOPE</w:t>
      </w:r>
      <w:bookmarkEnd w:id="2"/>
      <w:bookmarkEnd w:id="3"/>
    </w:p>
    <w:p w14:paraId="63666951" w14:textId="77777777" w:rsidR="00272523" w:rsidRPr="00CF0A98" w:rsidRDefault="00272523" w:rsidP="00272523">
      <w:pPr>
        <w:pStyle w:val="BodyTextIndent"/>
        <w:rPr>
          <w:rFonts w:ascii="Arial" w:eastAsia="Times New Roman" w:hAnsi="Arial" w:cs="Arial"/>
          <w:snapToGrid w:val="0"/>
        </w:rPr>
      </w:pPr>
      <w:r w:rsidRPr="00CF0A98">
        <w:rPr>
          <w:rFonts w:ascii="Arial" w:eastAsia="Times New Roman" w:hAnsi="Arial" w:cs="Arial"/>
          <w:snapToGrid w:val="0"/>
        </w:rPr>
        <w:t>The provisions of this standard</w:t>
      </w:r>
      <w:r w:rsidRPr="00CF0A98">
        <w:rPr>
          <w:rFonts w:ascii="Arial" w:hAnsi="Arial" w:cs="Arial"/>
          <w:snapToGrid w:val="0"/>
          <w:color w:val="FF0000"/>
        </w:rPr>
        <w:t xml:space="preserve"> </w:t>
      </w:r>
      <w:r w:rsidRPr="00CF0A98">
        <w:rPr>
          <w:rFonts w:ascii="Arial" w:eastAsia="Times New Roman" w:hAnsi="Arial" w:cs="Arial"/>
          <w:snapToGrid w:val="0"/>
        </w:rPr>
        <w:t xml:space="preserve">apply to all TI employees, suppliers, vendors, and visitors at TI sites worldwide.  </w:t>
      </w:r>
    </w:p>
    <w:p w14:paraId="63666952" w14:textId="77777777" w:rsidR="00272523" w:rsidRPr="00CF0A98" w:rsidRDefault="00272523" w:rsidP="00272523">
      <w:pPr>
        <w:pStyle w:val="BodyTextIndent"/>
        <w:rPr>
          <w:rFonts w:ascii="Arial" w:hAnsi="Arial" w:cs="Arial"/>
        </w:rPr>
      </w:pPr>
    </w:p>
    <w:p w14:paraId="63666953" w14:textId="77777777" w:rsidR="00272523" w:rsidRPr="00CF0A98" w:rsidRDefault="00272523" w:rsidP="00272523">
      <w:pPr>
        <w:pStyle w:val="Heading1"/>
        <w:tabs>
          <w:tab w:val="num" w:pos="432"/>
        </w:tabs>
        <w:rPr>
          <w:rFonts w:cs="Arial"/>
        </w:rPr>
      </w:pPr>
      <w:bookmarkStart w:id="4" w:name="_Toc326915984"/>
      <w:bookmarkStart w:id="5" w:name="_Toc328741367"/>
      <w:r w:rsidRPr="00CF0A98">
        <w:rPr>
          <w:rFonts w:cs="Arial"/>
        </w:rPr>
        <w:t>reference documents</w:t>
      </w:r>
      <w:bookmarkEnd w:id="4"/>
      <w:bookmarkEnd w:id="5"/>
    </w:p>
    <w:p w14:paraId="63666954" w14:textId="77777777" w:rsidR="00272523" w:rsidRPr="00CF0A98" w:rsidRDefault="00272523" w:rsidP="00272523">
      <w:pPr>
        <w:pStyle w:val="Heading2"/>
        <w:tabs>
          <w:tab w:val="num" w:pos="864"/>
        </w:tabs>
        <w:ind w:left="864" w:hanging="432"/>
      </w:pPr>
      <w:bookmarkStart w:id="6" w:name="_Toc326915985"/>
      <w:bookmarkStart w:id="7" w:name="_Toc328741368"/>
      <w:r w:rsidRPr="00CF0A98">
        <w:t>TI Standard Policy and Procedure (SP&amp;P) 04-04-01: “Environmental, Health and Safety”</w:t>
      </w:r>
      <w:bookmarkEnd w:id="6"/>
      <w:bookmarkEnd w:id="7"/>
    </w:p>
    <w:p w14:paraId="63666955" w14:textId="77777777" w:rsidR="00384553" w:rsidRPr="00CF0A98" w:rsidRDefault="00384553" w:rsidP="00384553">
      <w:pPr>
        <w:rPr>
          <w:rFonts w:ascii="Arial" w:hAnsi="Arial" w:cs="Arial"/>
        </w:rPr>
      </w:pPr>
    </w:p>
    <w:p w14:paraId="63666956" w14:textId="77777777" w:rsidR="00272523" w:rsidRPr="00CF0A98" w:rsidRDefault="00272523" w:rsidP="00272523">
      <w:pPr>
        <w:pStyle w:val="Heading1"/>
        <w:tabs>
          <w:tab w:val="num" w:pos="432"/>
        </w:tabs>
        <w:rPr>
          <w:rFonts w:cs="Arial"/>
        </w:rPr>
      </w:pPr>
      <w:bookmarkStart w:id="8" w:name="_Toc326915986"/>
      <w:bookmarkStart w:id="9" w:name="_Toc328741369"/>
      <w:r w:rsidRPr="00CF0A98">
        <w:rPr>
          <w:rFonts w:cs="Arial"/>
        </w:rPr>
        <w:t>definitions</w:t>
      </w:r>
      <w:bookmarkEnd w:id="8"/>
      <w:bookmarkEnd w:id="9"/>
    </w:p>
    <w:p w14:paraId="63666957" w14:textId="136630B8" w:rsidR="00272523" w:rsidRPr="007C11CC" w:rsidRDefault="007C11CC" w:rsidP="00272523">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272523" w:rsidRPr="007C11CC">
        <w:rPr>
          <w:rStyle w:val="Hyperlink"/>
          <w:rFonts w:ascii="Arial" w:hAnsi="Arial" w:cs="Arial"/>
        </w:rPr>
        <w:t>TI ESH Standards Glossary of Definitions</w:t>
      </w:r>
    </w:p>
    <w:p w14:paraId="63666958" w14:textId="3A4578EB" w:rsidR="00384553" w:rsidRPr="00CF0A98" w:rsidRDefault="007C11CC" w:rsidP="00272523">
      <w:pPr>
        <w:pStyle w:val="BodyTextIndent"/>
        <w:rPr>
          <w:rFonts w:ascii="Arial" w:hAnsi="Arial" w:cs="Arial"/>
        </w:rPr>
      </w:pPr>
      <w:r>
        <w:rPr>
          <w:rFonts w:ascii="Arial" w:hAnsi="Arial" w:cs="Arial"/>
        </w:rPr>
        <w:fldChar w:fldCharType="end"/>
      </w:r>
      <w:bookmarkStart w:id="10" w:name="_GoBack"/>
      <w:bookmarkEnd w:id="10"/>
    </w:p>
    <w:p w14:paraId="63666959" w14:textId="77777777" w:rsidR="00272523" w:rsidRPr="00CF0A98" w:rsidRDefault="00272523" w:rsidP="00272523">
      <w:pPr>
        <w:pStyle w:val="Heading1"/>
        <w:tabs>
          <w:tab w:val="num" w:pos="480"/>
        </w:tabs>
        <w:rPr>
          <w:rFonts w:cs="Arial"/>
        </w:rPr>
      </w:pPr>
      <w:bookmarkStart w:id="11" w:name="_Toc326915987"/>
      <w:bookmarkStart w:id="12" w:name="_Toc328741370"/>
      <w:r w:rsidRPr="00CF0A98">
        <w:rPr>
          <w:rFonts w:cs="Arial"/>
        </w:rPr>
        <w:t>REQUIREMENTS</w:t>
      </w:r>
      <w:bookmarkEnd w:id="11"/>
      <w:bookmarkEnd w:id="12"/>
    </w:p>
    <w:p w14:paraId="6366695A" w14:textId="77777777" w:rsidR="00272523" w:rsidRPr="00CF0A98" w:rsidRDefault="00272523" w:rsidP="00272523">
      <w:pPr>
        <w:pStyle w:val="BodyTextIndent"/>
        <w:rPr>
          <w:rFonts w:ascii="Arial" w:hAnsi="Arial" w:cs="Arial"/>
        </w:rPr>
      </w:pPr>
      <w:r w:rsidRPr="00CF0A98">
        <w:rPr>
          <w:rFonts w:ascii="Arial" w:hAnsi="Arial" w:cs="Arial"/>
        </w:rPr>
        <w:t xml:space="preserve">Sites shall ensure all equipment which is brought onto TI property is properly evaluated and determined to meet the environmental, safety and health requirements prior to </w:t>
      </w:r>
      <w:r w:rsidR="00904BC3">
        <w:rPr>
          <w:rFonts w:ascii="Arial" w:hAnsi="Arial" w:cs="Arial"/>
        </w:rPr>
        <w:t xml:space="preserve">acquisition, </w:t>
      </w:r>
      <w:r w:rsidRPr="00CF0A98">
        <w:rPr>
          <w:rFonts w:ascii="Arial" w:hAnsi="Arial" w:cs="Arial"/>
        </w:rPr>
        <w:t xml:space="preserve">installation and operation.  </w:t>
      </w:r>
    </w:p>
    <w:p w14:paraId="6366695B" w14:textId="77777777" w:rsidR="00272523" w:rsidRPr="00CF0A98" w:rsidRDefault="00272523" w:rsidP="00272523">
      <w:pPr>
        <w:pStyle w:val="Heading2"/>
        <w:tabs>
          <w:tab w:val="num" w:pos="864"/>
        </w:tabs>
        <w:ind w:left="864" w:hanging="432"/>
      </w:pPr>
      <w:bookmarkStart w:id="13" w:name="_Toc326915988"/>
      <w:bookmarkStart w:id="14" w:name="_Toc328741371"/>
      <w:r w:rsidRPr="00CF0A98">
        <w:t>Equipment Installation Process</w:t>
      </w:r>
      <w:bookmarkEnd w:id="13"/>
      <w:bookmarkEnd w:id="14"/>
      <w:r w:rsidRPr="00CF0A98">
        <w:t xml:space="preserve"> </w:t>
      </w:r>
    </w:p>
    <w:p w14:paraId="6366695C" w14:textId="77777777" w:rsidR="00272523" w:rsidRPr="00CF0A98" w:rsidRDefault="00272523" w:rsidP="00BC35A9">
      <w:pPr>
        <w:pStyle w:val="Heading3"/>
      </w:pPr>
      <w:r w:rsidRPr="00CF0A98">
        <w:t xml:space="preserve">Sites shall develop and maintain a process which requires an assessment of the layout design and the installation of all new, used and relocated equipment which meets any of the following criteria:  </w:t>
      </w:r>
    </w:p>
    <w:p w14:paraId="6366695D" w14:textId="77777777" w:rsidR="00272523" w:rsidRPr="00CF0A98" w:rsidRDefault="00272523" w:rsidP="00600B30">
      <w:pPr>
        <w:pStyle w:val="Heading4"/>
      </w:pPr>
      <w:r w:rsidRPr="00CF0A98">
        <w:t>Equipment that uses, creates, or contains any of the following:</w:t>
      </w:r>
    </w:p>
    <w:p w14:paraId="6366695E" w14:textId="77777777" w:rsidR="00272523" w:rsidRPr="00CF0A98" w:rsidRDefault="00272523" w:rsidP="00600B30">
      <w:pPr>
        <w:pStyle w:val="Heading5"/>
      </w:pPr>
      <w:r w:rsidRPr="00CF0A98">
        <w:t>Any chemicals (solid, liquid, or gas);</w:t>
      </w:r>
    </w:p>
    <w:p w14:paraId="6366695F" w14:textId="77777777" w:rsidR="00272523" w:rsidRPr="00CF0A98" w:rsidRDefault="00272523" w:rsidP="00600B30">
      <w:pPr>
        <w:pStyle w:val="Heading5"/>
      </w:pPr>
      <w:r w:rsidRPr="00CF0A98">
        <w:t>Ionizing and non-ionizing radiation;</w:t>
      </w:r>
    </w:p>
    <w:p w14:paraId="63666960" w14:textId="77777777" w:rsidR="00272523" w:rsidRPr="00CF0A98" w:rsidRDefault="00272523" w:rsidP="00600B30">
      <w:pPr>
        <w:pStyle w:val="Heading5"/>
      </w:pPr>
      <w:r w:rsidRPr="00CF0A98">
        <w:t>Hazardous waste;</w:t>
      </w:r>
    </w:p>
    <w:p w14:paraId="63666961" w14:textId="77777777" w:rsidR="00272523" w:rsidRPr="00CF0A98" w:rsidRDefault="00635AD3" w:rsidP="00600B30">
      <w:pPr>
        <w:pStyle w:val="Heading5"/>
      </w:pPr>
      <w:r>
        <w:t>Ele</w:t>
      </w:r>
      <w:r w:rsidR="00272523" w:rsidRPr="00CF0A98">
        <w:t xml:space="preserve">ctrical potential </w:t>
      </w:r>
      <w:r>
        <w:t xml:space="preserve">120 Volts or greater </w:t>
      </w:r>
      <w:r w:rsidR="00272523" w:rsidRPr="00CF0A98">
        <w:t>(phase to ground);</w:t>
      </w:r>
    </w:p>
    <w:p w14:paraId="63666962" w14:textId="77777777" w:rsidR="00272523" w:rsidRPr="00CF0A98" w:rsidRDefault="00272523" w:rsidP="00600B30">
      <w:pPr>
        <w:pStyle w:val="Heading5"/>
      </w:pPr>
      <w:r w:rsidRPr="00CF0A98">
        <w:t>Hazardous energy sources in addition to electricity;</w:t>
      </w:r>
    </w:p>
    <w:p w14:paraId="63666963" w14:textId="77777777" w:rsidR="00272523" w:rsidRPr="00CF0A98" w:rsidRDefault="00272523" w:rsidP="00600B30">
      <w:pPr>
        <w:pStyle w:val="Heading5"/>
      </w:pPr>
      <w:r w:rsidRPr="00CF0A98">
        <w:t>Moving parts which require guarding to prevent injury</w:t>
      </w:r>
      <w:r w:rsidR="00B30196">
        <w:t>;</w:t>
      </w:r>
      <w:r w:rsidRPr="00CF0A98">
        <w:t xml:space="preserve"> and</w:t>
      </w:r>
    </w:p>
    <w:p w14:paraId="63666964" w14:textId="77777777" w:rsidR="00272523" w:rsidRDefault="00272523" w:rsidP="00600B30">
      <w:pPr>
        <w:pStyle w:val="Heading5"/>
      </w:pPr>
      <w:r w:rsidRPr="00CF0A98">
        <w:lastRenderedPageBreak/>
        <w:t>Ergonomic conditions which require two-person or assisted lifts and clearances.</w:t>
      </w:r>
    </w:p>
    <w:p w14:paraId="25537021" w14:textId="44818AAB" w:rsidR="00D96017" w:rsidRPr="00D96017" w:rsidRDefault="00D96017" w:rsidP="00D96017">
      <w:pPr>
        <w:ind w:left="2340"/>
        <w:rPr>
          <w:rFonts w:ascii="Arial" w:hAnsi="Arial" w:cs="Arial"/>
        </w:rPr>
      </w:pPr>
      <w:r>
        <w:rPr>
          <w:rFonts w:ascii="Arial" w:hAnsi="Arial" w:cs="Arial"/>
        </w:rPr>
        <w:t>Note:  Cord/plug equipment 120V or greater with no additional concerns as described within section 5.1.1.1 may be considered exempt from this standard.</w:t>
      </w:r>
    </w:p>
    <w:p w14:paraId="63666965" w14:textId="77777777" w:rsidR="00272523" w:rsidRPr="00CF0A98" w:rsidRDefault="00272523" w:rsidP="00600B30">
      <w:pPr>
        <w:pStyle w:val="Heading4"/>
      </w:pPr>
      <w:r w:rsidRPr="00CF0A98">
        <w:t>Equipment that requires facilities hookups such as exhaust, drain, house gases, and cooling water.</w:t>
      </w:r>
    </w:p>
    <w:p w14:paraId="63666966" w14:textId="77777777" w:rsidR="00272523" w:rsidRPr="00CF0A98" w:rsidRDefault="00272523" w:rsidP="00BC35A9">
      <w:pPr>
        <w:pStyle w:val="Heading3"/>
      </w:pPr>
      <w:r w:rsidRPr="00CF0A98">
        <w:t>The process shall include the following elements:</w:t>
      </w:r>
    </w:p>
    <w:p w14:paraId="63666967" w14:textId="77777777" w:rsidR="00272523" w:rsidRPr="00CF0A98" w:rsidRDefault="00272523" w:rsidP="00600B30">
      <w:pPr>
        <w:pStyle w:val="Heading4"/>
      </w:pPr>
      <w:r w:rsidRPr="00CF0A98">
        <w:t>A process owner responsible for ensuring affected site personnel understand the equipment installation requirements</w:t>
      </w:r>
      <w:r w:rsidR="00D02484">
        <w:t>;</w:t>
      </w:r>
      <w:r w:rsidRPr="00CF0A98">
        <w:t xml:space="preserve"> </w:t>
      </w:r>
    </w:p>
    <w:p w14:paraId="63666968" w14:textId="77777777" w:rsidR="00272523" w:rsidRPr="00CF0A98" w:rsidRDefault="00272523" w:rsidP="00600B30">
      <w:pPr>
        <w:pStyle w:val="Heading4"/>
      </w:pPr>
      <w:r w:rsidRPr="00CF0A98">
        <w:t xml:space="preserve">Roles and responsibilities for implementing the requirements of this standard; </w:t>
      </w:r>
    </w:p>
    <w:p w14:paraId="63666969" w14:textId="77777777" w:rsidR="00272523" w:rsidRPr="00CF0A98" w:rsidRDefault="00272523" w:rsidP="00600B30">
      <w:pPr>
        <w:pStyle w:val="Heading4"/>
      </w:pPr>
      <w:r w:rsidRPr="00CF0A98">
        <w:t>A process for layout design review to ensure that the equipment installation will:</w:t>
      </w:r>
    </w:p>
    <w:p w14:paraId="6366696A" w14:textId="77777777" w:rsidR="00272523" w:rsidRPr="00CF0A98" w:rsidRDefault="00272523" w:rsidP="00600B30">
      <w:pPr>
        <w:pStyle w:val="Heading5"/>
      </w:pPr>
      <w:r w:rsidRPr="00CF0A98">
        <w:t xml:space="preserve">Meet TI </w:t>
      </w:r>
      <w:r w:rsidR="00B30196">
        <w:t>and regulatory ESH requirements;</w:t>
      </w:r>
      <w:r w:rsidRPr="00CF0A98">
        <w:t xml:space="preserve"> and </w:t>
      </w:r>
    </w:p>
    <w:p w14:paraId="6366696B" w14:textId="77777777" w:rsidR="00BC35A9" w:rsidRPr="00CF0A98" w:rsidRDefault="00272523" w:rsidP="00600B30">
      <w:pPr>
        <w:pStyle w:val="Heading5"/>
      </w:pPr>
      <w:r w:rsidRPr="00CF0A98">
        <w:t>Be reviewed and approved by representatives from facilities engineering, ESH and equipment engineering (maintenance) prior to installation.</w:t>
      </w:r>
    </w:p>
    <w:p w14:paraId="6366696C" w14:textId="77777777" w:rsidR="00272523" w:rsidRPr="00CF0A98" w:rsidRDefault="00272523" w:rsidP="00600B30">
      <w:pPr>
        <w:pStyle w:val="Heading4"/>
      </w:pPr>
      <w:r w:rsidRPr="00CF0A98">
        <w:t>A process for receiving, unpack</w:t>
      </w:r>
      <w:r w:rsidR="00B30196">
        <w:t>ing/uncrating and placement of used and/or m</w:t>
      </w:r>
      <w:r w:rsidRPr="00CF0A98">
        <w:t xml:space="preserve">igrated equipment: </w:t>
      </w:r>
    </w:p>
    <w:p w14:paraId="6366696D" w14:textId="77777777" w:rsidR="00272523" w:rsidRPr="00CF0A98" w:rsidRDefault="00272523" w:rsidP="00600B30">
      <w:pPr>
        <w:pStyle w:val="Heading5"/>
      </w:pPr>
      <w:r w:rsidRPr="00CF0A98">
        <w:t>Review of decommission, decontamination or other relevant documentation</w:t>
      </w:r>
      <w:r w:rsidR="00B30196">
        <w:t>;</w:t>
      </w:r>
    </w:p>
    <w:p w14:paraId="6366696E" w14:textId="77777777" w:rsidR="00272523" w:rsidRPr="00CF0A98" w:rsidRDefault="00272523" w:rsidP="00600B30">
      <w:pPr>
        <w:pStyle w:val="Heading5"/>
      </w:pPr>
      <w:r w:rsidRPr="00CF0A98">
        <w:t>Identification and control of potential hazards associated with used and/or migrated equipment to understand potentia</w:t>
      </w:r>
      <w:r w:rsidR="00B30196">
        <w:t>l hazards of equipment received;</w:t>
      </w:r>
      <w:r w:rsidRPr="00CF0A98">
        <w:t xml:space="preserve"> and</w:t>
      </w:r>
    </w:p>
    <w:p w14:paraId="6366696F" w14:textId="77777777" w:rsidR="00272523" w:rsidRPr="00CF0A98" w:rsidRDefault="00272523" w:rsidP="00600B30">
      <w:pPr>
        <w:pStyle w:val="Heading5"/>
      </w:pPr>
      <w:r w:rsidRPr="00CF0A98">
        <w:t xml:space="preserve">Determine personnel and PPE requirements for unpacking, uncrating and moving equipment from receiving area to final placement.       </w:t>
      </w:r>
    </w:p>
    <w:p w14:paraId="63666970" w14:textId="77777777" w:rsidR="00272523" w:rsidRPr="00CF0A98" w:rsidRDefault="00272523" w:rsidP="00600B30">
      <w:pPr>
        <w:pStyle w:val="Heading4"/>
      </w:pPr>
      <w:r w:rsidRPr="00CF0A98">
        <w:t>A process for equipment installation sign-off that, at a minimum, includes the following elements:</w:t>
      </w:r>
    </w:p>
    <w:p w14:paraId="63666971" w14:textId="77777777" w:rsidR="00272523" w:rsidRPr="00600B30" w:rsidRDefault="00272523" w:rsidP="00600B30">
      <w:pPr>
        <w:pStyle w:val="Heading5"/>
      </w:pPr>
      <w:r w:rsidRPr="00CF0A98">
        <w:t xml:space="preserve">A Level I assessment to ensure the equipment is safe to energize before non-hazardous chemicals and electrical power of 120V or less (phase-to-ground voltage) may be supplied to the tool, including, but not limited to: </w:t>
      </w:r>
    </w:p>
    <w:p w14:paraId="63666972" w14:textId="77777777" w:rsidR="00272523" w:rsidRPr="00600B30" w:rsidRDefault="00272523" w:rsidP="00600B30">
      <w:pPr>
        <w:pStyle w:val="Heading6"/>
      </w:pPr>
      <w:r w:rsidRPr="00600B30">
        <w:t xml:space="preserve">Electrical hookups; </w:t>
      </w:r>
    </w:p>
    <w:p w14:paraId="63666973" w14:textId="77777777" w:rsidR="00272523" w:rsidRPr="00CF0A98" w:rsidRDefault="007B49CF" w:rsidP="00600B30">
      <w:pPr>
        <w:pStyle w:val="Heading6"/>
      </w:pPr>
      <w:r w:rsidRPr="00CF0A98">
        <w:t xml:space="preserve">Lock Out </w:t>
      </w:r>
      <w:r w:rsidR="00272523" w:rsidRPr="00CF0A98">
        <w:t>Tag</w:t>
      </w:r>
      <w:r w:rsidRPr="00CF0A98">
        <w:t xml:space="preserve"> O</w:t>
      </w:r>
      <w:r w:rsidR="00272523" w:rsidRPr="00CF0A98">
        <w:t xml:space="preserve">ut procedures; </w:t>
      </w:r>
    </w:p>
    <w:p w14:paraId="63666974" w14:textId="77777777" w:rsidR="00272523" w:rsidRPr="00CF0A98" w:rsidRDefault="00272523" w:rsidP="00600B30">
      <w:pPr>
        <w:pStyle w:val="Heading6"/>
      </w:pPr>
      <w:r w:rsidRPr="00CF0A98">
        <w:t xml:space="preserve">Access and clearances; </w:t>
      </w:r>
    </w:p>
    <w:p w14:paraId="63666975" w14:textId="77777777" w:rsidR="00272523" w:rsidRPr="00CF0A98" w:rsidRDefault="00272523" w:rsidP="00600B30">
      <w:pPr>
        <w:pStyle w:val="Heading6"/>
      </w:pPr>
      <w:r w:rsidRPr="00CF0A98">
        <w:t xml:space="preserve">Exhaust ventilation systems; </w:t>
      </w:r>
    </w:p>
    <w:p w14:paraId="63666976" w14:textId="77777777" w:rsidR="00272523" w:rsidRPr="00CF0A98" w:rsidRDefault="007B49CF" w:rsidP="00600B30">
      <w:pPr>
        <w:pStyle w:val="Heading6"/>
      </w:pPr>
      <w:r w:rsidRPr="00CF0A98">
        <w:t>Drains;</w:t>
      </w:r>
    </w:p>
    <w:p w14:paraId="63666977" w14:textId="77777777" w:rsidR="00272523" w:rsidRPr="00CF0A98" w:rsidRDefault="00272523" w:rsidP="00600B30">
      <w:pPr>
        <w:pStyle w:val="Heading6"/>
      </w:pPr>
      <w:r w:rsidRPr="00CF0A98">
        <w:t>Lasers;</w:t>
      </w:r>
    </w:p>
    <w:p w14:paraId="63666978" w14:textId="77777777" w:rsidR="00272523" w:rsidRPr="00CF0A98" w:rsidRDefault="00272523" w:rsidP="00600B30">
      <w:pPr>
        <w:pStyle w:val="Heading6"/>
      </w:pPr>
      <w:r w:rsidRPr="00CF0A98">
        <w:t xml:space="preserve">Radiation sources; </w:t>
      </w:r>
    </w:p>
    <w:p w14:paraId="63666979" w14:textId="77777777" w:rsidR="00272523" w:rsidRPr="00CF0A98" w:rsidRDefault="00272523" w:rsidP="00600B30">
      <w:pPr>
        <w:pStyle w:val="Heading6"/>
      </w:pPr>
      <w:r w:rsidRPr="00CF0A98">
        <w:t xml:space="preserve">Minimal risk gas / liquid (water) and vacuum lines; </w:t>
      </w:r>
    </w:p>
    <w:p w14:paraId="6366697A" w14:textId="77777777" w:rsidR="00272523" w:rsidRPr="00CF0A98" w:rsidRDefault="00272523" w:rsidP="00600B30">
      <w:pPr>
        <w:pStyle w:val="Heading6"/>
      </w:pPr>
      <w:r w:rsidRPr="00CF0A98">
        <w:t>Guarding</w:t>
      </w:r>
      <w:r w:rsidR="00B30196">
        <w:t>;</w:t>
      </w:r>
      <w:r w:rsidRPr="00CF0A98">
        <w:t xml:space="preserve"> and </w:t>
      </w:r>
    </w:p>
    <w:p w14:paraId="6366697B" w14:textId="77777777" w:rsidR="00272523" w:rsidRPr="00CF0A98" w:rsidRDefault="00272523" w:rsidP="00600B30">
      <w:pPr>
        <w:pStyle w:val="Heading6"/>
      </w:pPr>
      <w:r w:rsidRPr="00CF0A98">
        <w:t>Emerg</w:t>
      </w:r>
      <w:r w:rsidR="00BC35A9" w:rsidRPr="00CF0A98">
        <w:t>ency machine off (EMO) switches</w:t>
      </w:r>
      <w:r w:rsidR="007B49CF" w:rsidRPr="00CF0A98">
        <w:t>.</w:t>
      </w:r>
    </w:p>
    <w:p w14:paraId="6366697C" w14:textId="77777777" w:rsidR="0080761A" w:rsidRDefault="00EE211C" w:rsidP="00EE211C">
      <w:pPr>
        <w:pStyle w:val="Note"/>
        <w:numPr>
          <w:ilvl w:val="0"/>
          <w:numId w:val="0"/>
        </w:numPr>
        <w:rPr>
          <w:rFonts w:ascii="Arial" w:hAnsi="Arial" w:cs="Arial"/>
        </w:rPr>
      </w:pPr>
      <w:r>
        <w:rPr>
          <w:rFonts w:ascii="Arial" w:hAnsi="Arial" w:cs="Arial"/>
        </w:rPr>
        <w:tab/>
      </w:r>
      <w:r>
        <w:rPr>
          <w:rFonts w:ascii="Arial" w:hAnsi="Arial" w:cs="Arial"/>
        </w:rPr>
        <w:tab/>
      </w:r>
      <w:r>
        <w:rPr>
          <w:rFonts w:ascii="Arial" w:hAnsi="Arial" w:cs="Arial"/>
        </w:rPr>
        <w:tab/>
        <w:t xml:space="preserve">        </w:t>
      </w:r>
      <w:r w:rsidR="0080761A">
        <w:rPr>
          <w:rFonts w:ascii="Arial" w:hAnsi="Arial" w:cs="Arial"/>
        </w:rPr>
        <w:tab/>
      </w:r>
      <w:r w:rsidR="0080761A">
        <w:rPr>
          <w:rFonts w:ascii="Arial" w:hAnsi="Arial" w:cs="Arial"/>
        </w:rPr>
        <w:tab/>
        <w:t xml:space="preserve">  </w:t>
      </w:r>
      <w:r w:rsidR="00DE2443">
        <w:rPr>
          <w:rFonts w:ascii="Arial" w:hAnsi="Arial" w:cs="Arial"/>
        </w:rPr>
        <w:t xml:space="preserve">Note: All </w:t>
      </w:r>
      <w:r w:rsidR="00272523" w:rsidRPr="00CF0A98">
        <w:rPr>
          <w:rFonts w:ascii="Arial" w:hAnsi="Arial" w:cs="Arial"/>
        </w:rPr>
        <w:t>EMO switches must be verified as functional</w:t>
      </w:r>
    </w:p>
    <w:p w14:paraId="6366697D" w14:textId="77777777" w:rsidR="007B49CF" w:rsidRPr="00CF0A98" w:rsidRDefault="0080761A" w:rsidP="00EE211C">
      <w:pPr>
        <w:pStyle w:val="Note"/>
        <w:numPr>
          <w:ilvl w:val="0"/>
          <w:numId w:val="0"/>
        </w:numPr>
        <w:rPr>
          <w:rFonts w:ascii="Arial" w:hAnsi="Arial" w:cs="Arial"/>
        </w:rPr>
      </w:pPr>
      <w:r>
        <w:rPr>
          <w:rFonts w:ascii="Arial" w:hAnsi="Arial" w:cs="Arial"/>
        </w:rPr>
        <w:t xml:space="preserve">                                                                         </w:t>
      </w:r>
      <w:r w:rsidR="00272523" w:rsidRPr="00CF0A98">
        <w:rPr>
          <w:rFonts w:ascii="Arial" w:hAnsi="Arial" w:cs="Arial"/>
        </w:rPr>
        <w:t xml:space="preserve"> during initial</w:t>
      </w:r>
      <w:r>
        <w:rPr>
          <w:rFonts w:ascii="Arial" w:hAnsi="Arial" w:cs="Arial"/>
        </w:rPr>
        <w:t xml:space="preserve"> </w:t>
      </w:r>
      <w:r w:rsidR="00272523" w:rsidRPr="00CF0A98">
        <w:rPr>
          <w:rFonts w:ascii="Arial" w:hAnsi="Arial" w:cs="Arial"/>
        </w:rPr>
        <w:t>power up for machine to remain energized.</w:t>
      </w:r>
    </w:p>
    <w:p w14:paraId="6366697E" w14:textId="77777777" w:rsidR="00272523" w:rsidRPr="00CF0A98" w:rsidRDefault="00272523" w:rsidP="007B49CF">
      <w:pPr>
        <w:pStyle w:val="Note"/>
        <w:numPr>
          <w:ilvl w:val="0"/>
          <w:numId w:val="0"/>
        </w:numPr>
        <w:rPr>
          <w:rFonts w:ascii="Arial" w:hAnsi="Arial" w:cs="Arial"/>
        </w:rPr>
      </w:pPr>
      <w:r w:rsidRPr="00CF0A98">
        <w:rPr>
          <w:rFonts w:ascii="Arial" w:hAnsi="Arial" w:cs="Arial"/>
        </w:rPr>
        <w:lastRenderedPageBreak/>
        <w:t xml:space="preserve"> </w:t>
      </w:r>
    </w:p>
    <w:p w14:paraId="6366697F" w14:textId="77777777" w:rsidR="00272523" w:rsidRPr="00CF0A98" w:rsidRDefault="00272523" w:rsidP="00600B30">
      <w:pPr>
        <w:pStyle w:val="Heading5"/>
      </w:pPr>
      <w:r w:rsidRPr="00CF0A98">
        <w:t>A Level II assessment to ensure that the required system checks are performed and that documented procedures are in place prior to introducing hazardous chemicals or other hazardous energy sources, including, but not limited to verification of:</w:t>
      </w:r>
    </w:p>
    <w:p w14:paraId="63666980" w14:textId="77777777" w:rsidR="00272523" w:rsidRPr="00CF0A98" w:rsidRDefault="00272523" w:rsidP="00600B30">
      <w:pPr>
        <w:pStyle w:val="Heading6"/>
      </w:pPr>
      <w:r w:rsidRPr="00CF0A98">
        <w:t xml:space="preserve">Wet process chemical systems; </w:t>
      </w:r>
    </w:p>
    <w:p w14:paraId="63666981" w14:textId="77777777" w:rsidR="00272523" w:rsidRPr="00CF0A98" w:rsidRDefault="00272523" w:rsidP="00600B30">
      <w:pPr>
        <w:pStyle w:val="Heading6"/>
      </w:pPr>
      <w:r w:rsidRPr="00CF0A98">
        <w:t>Bulk chemical delivery systems;</w:t>
      </w:r>
    </w:p>
    <w:p w14:paraId="63666982" w14:textId="77777777" w:rsidR="00272523" w:rsidRPr="00CF0A98" w:rsidRDefault="00272523" w:rsidP="00600B30">
      <w:pPr>
        <w:pStyle w:val="Heading6"/>
      </w:pPr>
      <w:r w:rsidRPr="00CF0A98">
        <w:t>Gas delivery systems;</w:t>
      </w:r>
    </w:p>
    <w:p w14:paraId="63666983" w14:textId="77777777" w:rsidR="00272523" w:rsidRPr="00CF0A98" w:rsidRDefault="00272523" w:rsidP="00600B30">
      <w:pPr>
        <w:pStyle w:val="Heading6"/>
      </w:pPr>
      <w:r w:rsidRPr="00CF0A98">
        <w:t>Gas and Chemical detection systems;</w:t>
      </w:r>
    </w:p>
    <w:p w14:paraId="63666984" w14:textId="77777777" w:rsidR="00272523" w:rsidRPr="00CF0A98" w:rsidRDefault="00272523" w:rsidP="00600B30">
      <w:pPr>
        <w:pStyle w:val="Heading6"/>
      </w:pPr>
      <w:r w:rsidRPr="00CF0A98">
        <w:t>Chemical disposal;</w:t>
      </w:r>
    </w:p>
    <w:p w14:paraId="63666985" w14:textId="77777777" w:rsidR="00272523" w:rsidRPr="00CF0A98" w:rsidRDefault="00272523" w:rsidP="00600B30">
      <w:pPr>
        <w:pStyle w:val="Heading6"/>
      </w:pPr>
      <w:r w:rsidRPr="00CF0A98">
        <w:t>Post-process exhaust treatment systems;</w:t>
      </w:r>
    </w:p>
    <w:p w14:paraId="63666986" w14:textId="77777777" w:rsidR="00272523" w:rsidRPr="00CF0A98" w:rsidRDefault="00272523" w:rsidP="00600B30">
      <w:pPr>
        <w:pStyle w:val="Heading6"/>
      </w:pPr>
      <w:r w:rsidRPr="00CF0A98">
        <w:t>Fire detection &amp; protection;</w:t>
      </w:r>
    </w:p>
    <w:p w14:paraId="63666987" w14:textId="77777777" w:rsidR="00272523" w:rsidRPr="00CF0A98" w:rsidRDefault="00272523" w:rsidP="00600B30">
      <w:pPr>
        <w:pStyle w:val="Heading6"/>
      </w:pPr>
      <w:r w:rsidRPr="00CF0A98">
        <w:t>Interlocks</w:t>
      </w:r>
      <w:r w:rsidR="00806D2A">
        <w:t>;</w:t>
      </w:r>
      <w:r w:rsidRPr="00CF0A98">
        <w:t xml:space="preserve"> and</w:t>
      </w:r>
    </w:p>
    <w:p w14:paraId="63666988" w14:textId="77777777" w:rsidR="00272523" w:rsidRPr="00CF0A98" w:rsidRDefault="00272523" w:rsidP="00600B30">
      <w:pPr>
        <w:pStyle w:val="Heading6"/>
      </w:pPr>
      <w:r w:rsidRPr="00CF0A98">
        <w:t>Radiation controls.</w:t>
      </w:r>
    </w:p>
    <w:p w14:paraId="63666989" w14:textId="77777777" w:rsidR="00272523" w:rsidRPr="00CF0A98" w:rsidRDefault="00272523" w:rsidP="00BC35A9">
      <w:pPr>
        <w:pStyle w:val="Heading3"/>
      </w:pPr>
      <w:r w:rsidRPr="00CF0A98">
        <w:t xml:space="preserve">Sites shall document assessments using a checklist on which each item is listed and verified as complete. </w:t>
      </w:r>
    </w:p>
    <w:p w14:paraId="6366698A" w14:textId="77777777" w:rsidR="00272523" w:rsidRPr="00CF0A98" w:rsidRDefault="00272523" w:rsidP="00272523">
      <w:pPr>
        <w:pStyle w:val="Heading2"/>
        <w:tabs>
          <w:tab w:val="num" w:pos="864"/>
        </w:tabs>
        <w:ind w:left="864" w:hanging="432"/>
      </w:pPr>
      <w:bookmarkStart w:id="15" w:name="_Toc326915989"/>
      <w:bookmarkStart w:id="16" w:name="_Toc328741372"/>
      <w:r w:rsidRPr="00CF0A98">
        <w:t>Training</w:t>
      </w:r>
      <w:bookmarkEnd w:id="15"/>
      <w:bookmarkEnd w:id="16"/>
    </w:p>
    <w:p w14:paraId="6366698B" w14:textId="77777777" w:rsidR="00272523" w:rsidRPr="00CF0A98" w:rsidRDefault="00272523" w:rsidP="00BC35A9">
      <w:pPr>
        <w:pStyle w:val="Heading3"/>
      </w:pPr>
      <w:r w:rsidRPr="00CF0A98">
        <w:t xml:space="preserve">The site shall ensure that persons responsible for implementing the equipment installation process have received training or are by other means competent to perform their roles. </w:t>
      </w:r>
    </w:p>
    <w:p w14:paraId="6366698C" w14:textId="77777777" w:rsidR="00272523" w:rsidRPr="00CF0A98" w:rsidRDefault="00272523" w:rsidP="00272523">
      <w:pPr>
        <w:pStyle w:val="Heading2"/>
        <w:tabs>
          <w:tab w:val="num" w:pos="864"/>
        </w:tabs>
        <w:ind w:left="864" w:hanging="432"/>
      </w:pPr>
      <w:bookmarkStart w:id="17" w:name="_Toc326915990"/>
      <w:bookmarkStart w:id="18" w:name="_Toc328741373"/>
      <w:r w:rsidRPr="00CF0A98">
        <w:t>Records</w:t>
      </w:r>
      <w:bookmarkEnd w:id="17"/>
      <w:bookmarkEnd w:id="18"/>
    </w:p>
    <w:p w14:paraId="6366698D" w14:textId="77777777" w:rsidR="00272523" w:rsidRPr="00CF0A98" w:rsidRDefault="00272523" w:rsidP="00BC35A9">
      <w:pPr>
        <w:pStyle w:val="Heading3"/>
      </w:pPr>
      <w:r w:rsidRPr="00CF0A98">
        <w:t xml:space="preserve">Installation checklists shall be retained in accordance with TI’s ESH Record Retention Matrix.  </w:t>
      </w:r>
    </w:p>
    <w:p w14:paraId="6366698E" w14:textId="77777777" w:rsidR="00272523" w:rsidRPr="00CF0A98" w:rsidRDefault="00272523" w:rsidP="00272523">
      <w:pPr>
        <w:rPr>
          <w:rFonts w:ascii="Arial" w:hAnsi="Arial" w:cs="Arial"/>
        </w:rPr>
      </w:pPr>
    </w:p>
    <w:p w14:paraId="6366698F" w14:textId="77777777" w:rsidR="00272523" w:rsidRPr="00CF0A98" w:rsidRDefault="00272523" w:rsidP="00272523">
      <w:pPr>
        <w:pStyle w:val="Heading1"/>
        <w:tabs>
          <w:tab w:val="num" w:pos="432"/>
        </w:tabs>
        <w:rPr>
          <w:rFonts w:cs="Arial"/>
        </w:rPr>
      </w:pPr>
      <w:bookmarkStart w:id="19" w:name="_Toc326915991"/>
      <w:bookmarkStart w:id="20" w:name="_Toc328741374"/>
      <w:r w:rsidRPr="00CF0A98">
        <w:rPr>
          <w:rFonts w:cs="Arial"/>
          <w:snapToGrid w:val="0"/>
        </w:rPr>
        <w:t xml:space="preserve">standard </w:t>
      </w:r>
      <w:r w:rsidRPr="00CF0A98">
        <w:rPr>
          <w:rFonts w:cs="Arial"/>
        </w:rPr>
        <w:t>Approval</w:t>
      </w:r>
      <w:bookmarkEnd w:id="19"/>
      <w:bookmarkEnd w:id="20"/>
    </w:p>
    <w:p w14:paraId="63666990" w14:textId="77777777" w:rsidR="00272523" w:rsidRPr="00CF0A98" w:rsidRDefault="00272523" w:rsidP="00272523">
      <w:pPr>
        <w:pStyle w:val="BodyTextIndent"/>
        <w:rPr>
          <w:rFonts w:ascii="Arial" w:hAnsi="Arial" w:cs="Arial"/>
        </w:rPr>
      </w:pPr>
      <w:r w:rsidRPr="00CF0A98">
        <w:rPr>
          <w:rFonts w:ascii="Arial" w:hAnsi="Arial" w:cs="Arial"/>
        </w:rPr>
        <w:t xml:space="preserve">This </w:t>
      </w:r>
      <w:r w:rsidRPr="00CF0A98">
        <w:rPr>
          <w:rFonts w:ascii="Arial" w:hAnsi="Arial" w:cs="Arial"/>
          <w:snapToGrid w:val="0"/>
        </w:rPr>
        <w:t xml:space="preserve">standard </w:t>
      </w:r>
      <w:r w:rsidRPr="00CF0A98">
        <w:rPr>
          <w:rFonts w:ascii="Arial" w:hAnsi="Arial" w:cs="Arial"/>
        </w:rPr>
        <w:t>has been approved by David Thomas, TI Vice President.</w:t>
      </w:r>
    </w:p>
    <w:p w14:paraId="63666991" w14:textId="77777777" w:rsidR="00272523" w:rsidRPr="00CF0A98" w:rsidRDefault="00272523" w:rsidP="00272523">
      <w:pPr>
        <w:rPr>
          <w:rFonts w:ascii="Arial" w:hAnsi="Arial" w:cs="Arial"/>
        </w:rPr>
      </w:pPr>
    </w:p>
    <w:p w14:paraId="63666992" w14:textId="77777777" w:rsidR="00272523" w:rsidRPr="00CF0A98" w:rsidRDefault="00272523" w:rsidP="00272523">
      <w:pPr>
        <w:pStyle w:val="Heading1"/>
        <w:tabs>
          <w:tab w:val="num" w:pos="432"/>
        </w:tabs>
        <w:rPr>
          <w:rFonts w:cs="Arial"/>
        </w:rPr>
      </w:pPr>
      <w:bookmarkStart w:id="21" w:name="_Toc326915992"/>
      <w:bookmarkStart w:id="22" w:name="_Toc328741375"/>
      <w:r w:rsidRPr="00CF0A98">
        <w:rPr>
          <w:rFonts w:cs="Arial"/>
        </w:rPr>
        <w:t>Revision History</w:t>
      </w:r>
      <w:bookmarkEnd w:id="21"/>
      <w:bookmarkEnd w:id="22"/>
    </w:p>
    <w:p w14:paraId="63666993" w14:textId="77777777" w:rsidR="00272523" w:rsidRPr="00CF0A98" w:rsidRDefault="00272523" w:rsidP="002725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143"/>
        <w:gridCol w:w="3467"/>
        <w:gridCol w:w="1534"/>
        <w:gridCol w:w="1728"/>
      </w:tblGrid>
      <w:tr w:rsidR="00272523" w:rsidRPr="00CF0A98" w14:paraId="63666999" w14:textId="77777777" w:rsidTr="00272523">
        <w:tc>
          <w:tcPr>
            <w:tcW w:w="1704" w:type="dxa"/>
          </w:tcPr>
          <w:p w14:paraId="63666994" w14:textId="77777777" w:rsidR="00272523" w:rsidRPr="00CF0A98" w:rsidRDefault="00272523" w:rsidP="00272523">
            <w:pPr>
              <w:pStyle w:val="Header"/>
              <w:tabs>
                <w:tab w:val="clear" w:pos="4320"/>
                <w:tab w:val="clear" w:pos="8640"/>
              </w:tabs>
              <w:jc w:val="center"/>
              <w:rPr>
                <w:rFonts w:ascii="Arial" w:hAnsi="Arial" w:cs="Arial"/>
                <w:b/>
              </w:rPr>
            </w:pPr>
            <w:r w:rsidRPr="00CF0A98">
              <w:rPr>
                <w:rFonts w:ascii="Arial" w:hAnsi="Arial" w:cs="Arial"/>
              </w:rPr>
              <w:br w:type="page"/>
            </w:r>
            <w:r w:rsidRPr="00CF0A98">
              <w:rPr>
                <w:rFonts w:ascii="Arial" w:hAnsi="Arial" w:cs="Arial"/>
                <w:b/>
              </w:rPr>
              <w:t>Rev#</w:t>
            </w:r>
          </w:p>
        </w:tc>
        <w:tc>
          <w:tcPr>
            <w:tcW w:w="1143" w:type="dxa"/>
          </w:tcPr>
          <w:p w14:paraId="63666995" w14:textId="77777777" w:rsidR="00272523" w:rsidRPr="00CF0A98" w:rsidRDefault="00272523" w:rsidP="00272523">
            <w:pPr>
              <w:pStyle w:val="Header"/>
              <w:tabs>
                <w:tab w:val="clear" w:pos="4320"/>
                <w:tab w:val="clear" w:pos="8640"/>
              </w:tabs>
              <w:jc w:val="center"/>
              <w:rPr>
                <w:rFonts w:ascii="Arial" w:hAnsi="Arial" w:cs="Arial"/>
                <w:b/>
              </w:rPr>
            </w:pPr>
            <w:r w:rsidRPr="00CF0A98">
              <w:rPr>
                <w:rFonts w:ascii="Arial" w:hAnsi="Arial" w:cs="Arial"/>
                <w:b/>
              </w:rPr>
              <w:t>Date</w:t>
            </w:r>
          </w:p>
        </w:tc>
        <w:tc>
          <w:tcPr>
            <w:tcW w:w="3467" w:type="dxa"/>
          </w:tcPr>
          <w:p w14:paraId="63666996" w14:textId="77777777" w:rsidR="00272523" w:rsidRPr="00CF0A98" w:rsidRDefault="00272523" w:rsidP="00272523">
            <w:pPr>
              <w:pStyle w:val="Header"/>
              <w:tabs>
                <w:tab w:val="clear" w:pos="4320"/>
                <w:tab w:val="clear" w:pos="8640"/>
              </w:tabs>
              <w:jc w:val="center"/>
              <w:rPr>
                <w:rFonts w:ascii="Arial" w:hAnsi="Arial" w:cs="Arial"/>
                <w:b/>
              </w:rPr>
            </w:pPr>
            <w:r w:rsidRPr="00CF0A98">
              <w:rPr>
                <w:rFonts w:ascii="Arial" w:hAnsi="Arial" w:cs="Arial"/>
                <w:b/>
              </w:rPr>
              <w:t>Nature of Revision</w:t>
            </w:r>
          </w:p>
        </w:tc>
        <w:tc>
          <w:tcPr>
            <w:tcW w:w="1534" w:type="dxa"/>
          </w:tcPr>
          <w:p w14:paraId="63666997" w14:textId="77777777" w:rsidR="00272523" w:rsidRPr="00CF0A98" w:rsidRDefault="00272523" w:rsidP="00272523">
            <w:pPr>
              <w:pStyle w:val="Header"/>
              <w:tabs>
                <w:tab w:val="clear" w:pos="4320"/>
                <w:tab w:val="clear" w:pos="8640"/>
              </w:tabs>
              <w:jc w:val="center"/>
              <w:rPr>
                <w:rFonts w:ascii="Arial" w:hAnsi="Arial" w:cs="Arial"/>
                <w:b/>
              </w:rPr>
            </w:pPr>
            <w:r w:rsidRPr="00CF0A98">
              <w:rPr>
                <w:rFonts w:ascii="Arial" w:hAnsi="Arial" w:cs="Arial"/>
                <w:b/>
              </w:rPr>
              <w:t>Author/Editor</w:t>
            </w:r>
          </w:p>
        </w:tc>
        <w:tc>
          <w:tcPr>
            <w:tcW w:w="1728" w:type="dxa"/>
          </w:tcPr>
          <w:p w14:paraId="63666998" w14:textId="77777777" w:rsidR="00272523" w:rsidRPr="00CF0A98" w:rsidRDefault="00272523" w:rsidP="00272523">
            <w:pPr>
              <w:pStyle w:val="Header"/>
              <w:tabs>
                <w:tab w:val="clear" w:pos="4320"/>
                <w:tab w:val="clear" w:pos="8640"/>
              </w:tabs>
              <w:jc w:val="center"/>
              <w:rPr>
                <w:rFonts w:ascii="Arial" w:hAnsi="Arial" w:cs="Arial"/>
                <w:b/>
              </w:rPr>
            </w:pPr>
            <w:r w:rsidRPr="00CF0A98">
              <w:rPr>
                <w:rFonts w:ascii="Arial" w:hAnsi="Arial" w:cs="Arial"/>
                <w:b/>
              </w:rPr>
              <w:t>Approver</w:t>
            </w:r>
          </w:p>
        </w:tc>
      </w:tr>
      <w:tr w:rsidR="00272523" w:rsidRPr="00CF0A98" w14:paraId="6366699F" w14:textId="77777777" w:rsidTr="00272523">
        <w:tc>
          <w:tcPr>
            <w:tcW w:w="1704" w:type="dxa"/>
          </w:tcPr>
          <w:p w14:paraId="6366699A" w14:textId="77777777" w:rsidR="00272523" w:rsidRPr="00CF0A98" w:rsidRDefault="00272523" w:rsidP="00272523">
            <w:pPr>
              <w:pStyle w:val="Header"/>
              <w:tabs>
                <w:tab w:val="clear" w:pos="4320"/>
                <w:tab w:val="clear" w:pos="8640"/>
              </w:tabs>
              <w:rPr>
                <w:rFonts w:ascii="Arial" w:hAnsi="Arial" w:cs="Arial"/>
              </w:rPr>
            </w:pPr>
          </w:p>
        </w:tc>
        <w:tc>
          <w:tcPr>
            <w:tcW w:w="1143" w:type="dxa"/>
          </w:tcPr>
          <w:p w14:paraId="6366699B" w14:textId="77777777" w:rsidR="00272523" w:rsidRPr="00CF0A98" w:rsidRDefault="00272523" w:rsidP="00272523">
            <w:pPr>
              <w:pStyle w:val="Header"/>
              <w:tabs>
                <w:tab w:val="clear" w:pos="4320"/>
                <w:tab w:val="clear" w:pos="8640"/>
              </w:tabs>
              <w:rPr>
                <w:rFonts w:ascii="Arial" w:hAnsi="Arial" w:cs="Arial"/>
              </w:rPr>
            </w:pPr>
            <w:r w:rsidRPr="00CF0A98">
              <w:rPr>
                <w:rFonts w:ascii="Arial" w:hAnsi="Arial" w:cs="Arial"/>
              </w:rPr>
              <w:t>12/29/06</w:t>
            </w:r>
          </w:p>
        </w:tc>
        <w:tc>
          <w:tcPr>
            <w:tcW w:w="3467" w:type="dxa"/>
          </w:tcPr>
          <w:p w14:paraId="6366699C" w14:textId="77777777" w:rsidR="00272523" w:rsidRPr="00CF0A98" w:rsidRDefault="00272523" w:rsidP="00272523">
            <w:pPr>
              <w:pStyle w:val="Header"/>
              <w:tabs>
                <w:tab w:val="clear" w:pos="4320"/>
                <w:tab w:val="clear" w:pos="8640"/>
              </w:tabs>
              <w:rPr>
                <w:rFonts w:ascii="Arial" w:hAnsi="Arial" w:cs="Arial"/>
              </w:rPr>
            </w:pPr>
            <w:r w:rsidRPr="00CF0A98">
              <w:rPr>
                <w:rFonts w:ascii="Arial" w:hAnsi="Arial" w:cs="Arial"/>
              </w:rPr>
              <w:t>Original</w:t>
            </w:r>
          </w:p>
        </w:tc>
        <w:tc>
          <w:tcPr>
            <w:tcW w:w="1534" w:type="dxa"/>
          </w:tcPr>
          <w:p w14:paraId="6366699D" w14:textId="77777777" w:rsidR="00272523" w:rsidRPr="00CF0A98" w:rsidRDefault="00272523" w:rsidP="00272523">
            <w:pPr>
              <w:pStyle w:val="Header"/>
              <w:tabs>
                <w:tab w:val="clear" w:pos="4320"/>
                <w:tab w:val="clear" w:pos="8640"/>
              </w:tabs>
              <w:rPr>
                <w:rFonts w:ascii="Arial" w:hAnsi="Arial" w:cs="Arial"/>
              </w:rPr>
            </w:pPr>
            <w:r w:rsidRPr="00CF0A98">
              <w:rPr>
                <w:rFonts w:ascii="Arial" w:hAnsi="Arial" w:cs="Arial"/>
              </w:rPr>
              <w:t>Christie Lotspeich</w:t>
            </w:r>
          </w:p>
        </w:tc>
        <w:tc>
          <w:tcPr>
            <w:tcW w:w="1728" w:type="dxa"/>
          </w:tcPr>
          <w:p w14:paraId="6366699E" w14:textId="77777777" w:rsidR="00272523" w:rsidRPr="00CF0A98" w:rsidRDefault="00272523" w:rsidP="00272523">
            <w:pPr>
              <w:pStyle w:val="Header"/>
              <w:tabs>
                <w:tab w:val="clear" w:pos="4320"/>
                <w:tab w:val="clear" w:pos="8640"/>
              </w:tabs>
              <w:rPr>
                <w:rFonts w:ascii="Arial" w:hAnsi="Arial" w:cs="Arial"/>
              </w:rPr>
            </w:pPr>
          </w:p>
        </w:tc>
      </w:tr>
      <w:tr w:rsidR="00272523" w:rsidRPr="00CF0A98" w14:paraId="636669A5" w14:textId="77777777" w:rsidTr="00272523">
        <w:tc>
          <w:tcPr>
            <w:tcW w:w="1704" w:type="dxa"/>
          </w:tcPr>
          <w:p w14:paraId="636669A0" w14:textId="77777777" w:rsidR="00272523" w:rsidRPr="00CF0A98" w:rsidRDefault="00CF0A98" w:rsidP="00272523">
            <w:pPr>
              <w:pStyle w:val="Header"/>
              <w:tabs>
                <w:tab w:val="clear" w:pos="4320"/>
                <w:tab w:val="clear" w:pos="8640"/>
              </w:tabs>
              <w:rPr>
                <w:rFonts w:ascii="Arial" w:hAnsi="Arial" w:cs="Arial"/>
                <w:color w:val="0000FF"/>
              </w:rPr>
            </w:pPr>
            <w:r w:rsidRPr="00CF0A98">
              <w:rPr>
                <w:rFonts w:ascii="Arial" w:hAnsi="Arial" w:cs="Arial"/>
                <w:color w:val="0000FF"/>
              </w:rPr>
              <w:t>A</w:t>
            </w:r>
          </w:p>
        </w:tc>
        <w:tc>
          <w:tcPr>
            <w:tcW w:w="1143" w:type="dxa"/>
          </w:tcPr>
          <w:p w14:paraId="636669A1"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07/14/10</w:t>
            </w:r>
          </w:p>
        </w:tc>
        <w:tc>
          <w:tcPr>
            <w:tcW w:w="3467" w:type="dxa"/>
          </w:tcPr>
          <w:p w14:paraId="636669A2"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Minor change: Section 1.0 – clarified purpose; Section 3.1.b.4 - additional language for receiving equipment</w:t>
            </w:r>
          </w:p>
        </w:tc>
        <w:tc>
          <w:tcPr>
            <w:tcW w:w="1534" w:type="dxa"/>
          </w:tcPr>
          <w:p w14:paraId="636669A3"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Jack McAdams, Matt Jones</w:t>
            </w:r>
          </w:p>
        </w:tc>
        <w:tc>
          <w:tcPr>
            <w:tcW w:w="1728" w:type="dxa"/>
          </w:tcPr>
          <w:p w14:paraId="636669A4" w14:textId="77777777" w:rsidR="00272523" w:rsidRPr="00CF0A98" w:rsidRDefault="00AD6F83" w:rsidP="00272523">
            <w:pPr>
              <w:pStyle w:val="Header"/>
              <w:tabs>
                <w:tab w:val="clear" w:pos="4320"/>
                <w:tab w:val="clear" w:pos="8640"/>
              </w:tabs>
              <w:rPr>
                <w:rFonts w:ascii="Arial" w:hAnsi="Arial" w:cs="Arial"/>
                <w:color w:val="0000FF"/>
              </w:rPr>
            </w:pPr>
            <w:r>
              <w:rPr>
                <w:rFonts w:ascii="Arial" w:hAnsi="Arial" w:cs="Arial"/>
                <w:color w:val="0000FF"/>
              </w:rPr>
              <w:t xml:space="preserve">Standards Review Committee </w:t>
            </w:r>
          </w:p>
        </w:tc>
      </w:tr>
      <w:tr w:rsidR="00272523" w:rsidRPr="00CF0A98" w14:paraId="636669B3" w14:textId="77777777" w:rsidTr="00272523">
        <w:tc>
          <w:tcPr>
            <w:tcW w:w="1704" w:type="dxa"/>
          </w:tcPr>
          <w:p w14:paraId="636669A6" w14:textId="77777777" w:rsidR="00272523" w:rsidRPr="00CF0A98" w:rsidRDefault="00CF0A98" w:rsidP="00272523">
            <w:pPr>
              <w:pStyle w:val="Header"/>
              <w:tabs>
                <w:tab w:val="clear" w:pos="4320"/>
                <w:tab w:val="clear" w:pos="8640"/>
              </w:tabs>
              <w:rPr>
                <w:rFonts w:ascii="Arial" w:hAnsi="Arial" w:cs="Arial"/>
                <w:color w:val="0000FF"/>
              </w:rPr>
            </w:pPr>
            <w:r w:rsidRPr="00CF0A98">
              <w:rPr>
                <w:rFonts w:ascii="Arial" w:hAnsi="Arial" w:cs="Arial"/>
                <w:color w:val="0000FF"/>
              </w:rPr>
              <w:t>B</w:t>
            </w:r>
          </w:p>
        </w:tc>
        <w:tc>
          <w:tcPr>
            <w:tcW w:w="1143" w:type="dxa"/>
          </w:tcPr>
          <w:p w14:paraId="636669A7" w14:textId="77777777" w:rsidR="00272523" w:rsidRPr="00CF0A98" w:rsidRDefault="00442F9B" w:rsidP="00272523">
            <w:pPr>
              <w:pStyle w:val="Header"/>
              <w:tabs>
                <w:tab w:val="clear" w:pos="4320"/>
                <w:tab w:val="clear" w:pos="8640"/>
              </w:tabs>
              <w:rPr>
                <w:rFonts w:ascii="Arial" w:hAnsi="Arial" w:cs="Arial"/>
                <w:color w:val="0000FF"/>
              </w:rPr>
            </w:pPr>
            <w:r>
              <w:rPr>
                <w:rFonts w:ascii="Arial" w:hAnsi="Arial" w:cs="Arial"/>
                <w:color w:val="0000FF"/>
              </w:rPr>
              <w:t>06/12</w:t>
            </w:r>
            <w:r w:rsidR="00272523" w:rsidRPr="00CF0A98">
              <w:rPr>
                <w:rFonts w:ascii="Arial" w:hAnsi="Arial" w:cs="Arial"/>
                <w:color w:val="0000FF"/>
              </w:rPr>
              <w:t>/1</w:t>
            </w:r>
            <w:r w:rsidR="00AD6F83">
              <w:rPr>
                <w:rFonts w:ascii="Arial" w:hAnsi="Arial" w:cs="Arial"/>
                <w:color w:val="0000FF"/>
              </w:rPr>
              <w:t>3</w:t>
            </w:r>
          </w:p>
        </w:tc>
        <w:tc>
          <w:tcPr>
            <w:tcW w:w="3467" w:type="dxa"/>
          </w:tcPr>
          <w:p w14:paraId="636669A8"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 xml:space="preserve">Minor changes: </w:t>
            </w:r>
          </w:p>
          <w:p w14:paraId="636669A9"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 xml:space="preserve">Entire Document - Reformatting/ rewording; </w:t>
            </w:r>
          </w:p>
          <w:p w14:paraId="636669AA"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Section 5</w:t>
            </w:r>
            <w:r w:rsidR="004C2E23">
              <w:rPr>
                <w:rFonts w:ascii="Arial" w:hAnsi="Arial" w:cs="Arial"/>
                <w:color w:val="0000FF"/>
              </w:rPr>
              <w:t>.1.2.5</w:t>
            </w:r>
            <w:r w:rsidRPr="00CF0A98">
              <w:rPr>
                <w:rFonts w:ascii="Arial" w:hAnsi="Arial" w:cs="Arial"/>
                <w:color w:val="0000FF"/>
              </w:rPr>
              <w:t xml:space="preserve"> – Clarified checklist levels</w:t>
            </w:r>
          </w:p>
          <w:p w14:paraId="636669AB" w14:textId="77777777" w:rsidR="00272523" w:rsidRPr="00CF0A98" w:rsidRDefault="004C2E23" w:rsidP="00272523">
            <w:pPr>
              <w:pStyle w:val="Header"/>
              <w:tabs>
                <w:tab w:val="clear" w:pos="4320"/>
                <w:tab w:val="clear" w:pos="8640"/>
              </w:tabs>
              <w:rPr>
                <w:rFonts w:ascii="Arial" w:hAnsi="Arial" w:cs="Arial"/>
                <w:color w:val="0000FF"/>
              </w:rPr>
            </w:pPr>
            <w:r>
              <w:rPr>
                <w:rFonts w:ascii="Arial" w:hAnsi="Arial" w:cs="Arial"/>
                <w:color w:val="0000FF"/>
              </w:rPr>
              <w:t>Section 5.1.2.5.1</w:t>
            </w:r>
            <w:r w:rsidR="00272523" w:rsidRPr="00CF0A98">
              <w:rPr>
                <w:rFonts w:ascii="Arial" w:hAnsi="Arial" w:cs="Arial"/>
                <w:color w:val="0000FF"/>
              </w:rPr>
              <w:t xml:space="preserve"> – Added non-hazardous chemistries </w:t>
            </w:r>
          </w:p>
          <w:p w14:paraId="636669AC" w14:textId="77777777" w:rsidR="00272523" w:rsidRPr="00CF0A98" w:rsidRDefault="004C2E23" w:rsidP="00272523">
            <w:pPr>
              <w:pStyle w:val="Header"/>
              <w:tabs>
                <w:tab w:val="clear" w:pos="4320"/>
                <w:tab w:val="clear" w:pos="8640"/>
              </w:tabs>
              <w:rPr>
                <w:rFonts w:ascii="Arial" w:hAnsi="Arial" w:cs="Arial"/>
                <w:color w:val="0000FF"/>
              </w:rPr>
            </w:pPr>
            <w:r>
              <w:rPr>
                <w:rFonts w:ascii="Arial" w:hAnsi="Arial" w:cs="Arial"/>
                <w:color w:val="0000FF"/>
              </w:rPr>
              <w:t>Section 5.1.2.5.1.5</w:t>
            </w:r>
            <w:r w:rsidR="00272523" w:rsidRPr="00CF0A98">
              <w:rPr>
                <w:rFonts w:ascii="Arial" w:hAnsi="Arial" w:cs="Arial"/>
                <w:color w:val="0000FF"/>
              </w:rPr>
              <w:t xml:space="preserve"> – Added drains</w:t>
            </w:r>
          </w:p>
          <w:p w14:paraId="636669AD" w14:textId="77777777" w:rsidR="00272523" w:rsidRPr="00CF0A98" w:rsidRDefault="004C2E23" w:rsidP="00272523">
            <w:pPr>
              <w:pStyle w:val="Header"/>
              <w:tabs>
                <w:tab w:val="clear" w:pos="4320"/>
                <w:tab w:val="clear" w:pos="8640"/>
              </w:tabs>
              <w:rPr>
                <w:rFonts w:ascii="Arial" w:hAnsi="Arial" w:cs="Arial"/>
                <w:color w:val="0000FF"/>
              </w:rPr>
            </w:pPr>
            <w:r>
              <w:rPr>
                <w:rFonts w:ascii="Arial" w:hAnsi="Arial" w:cs="Arial"/>
                <w:color w:val="0000FF"/>
              </w:rPr>
              <w:t>Section 5.1.2.5.1.10</w:t>
            </w:r>
            <w:r w:rsidR="00272523" w:rsidRPr="00CF0A98">
              <w:rPr>
                <w:rFonts w:ascii="Arial" w:hAnsi="Arial" w:cs="Arial"/>
                <w:color w:val="0000FF"/>
              </w:rPr>
              <w:t xml:space="preserve"> – Clarified EMO assessment</w:t>
            </w:r>
          </w:p>
          <w:p w14:paraId="636669AE" w14:textId="77777777" w:rsidR="004C2E23"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 xml:space="preserve">Major changes: </w:t>
            </w:r>
          </w:p>
          <w:p w14:paraId="636669AF"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Removed written program requirement;</w:t>
            </w:r>
          </w:p>
          <w:p w14:paraId="636669B0" w14:textId="77777777" w:rsidR="00272523" w:rsidRPr="00CF0A98" w:rsidRDefault="004C2E23" w:rsidP="00272523">
            <w:pPr>
              <w:pStyle w:val="Header"/>
              <w:tabs>
                <w:tab w:val="clear" w:pos="4320"/>
                <w:tab w:val="clear" w:pos="8640"/>
              </w:tabs>
              <w:rPr>
                <w:rFonts w:ascii="Arial" w:hAnsi="Arial" w:cs="Arial"/>
                <w:color w:val="0000FF"/>
              </w:rPr>
            </w:pPr>
            <w:r>
              <w:rPr>
                <w:rFonts w:ascii="Arial" w:hAnsi="Arial" w:cs="Arial"/>
                <w:color w:val="0000FF"/>
              </w:rPr>
              <w:t>Section 5.1.2.4</w:t>
            </w:r>
            <w:r w:rsidR="00272523" w:rsidRPr="00CF0A98">
              <w:rPr>
                <w:rFonts w:ascii="Arial" w:hAnsi="Arial" w:cs="Arial"/>
                <w:color w:val="0000FF"/>
              </w:rPr>
              <w:t xml:space="preserve"> – Added requirement for Used/ Migrated process</w:t>
            </w:r>
          </w:p>
        </w:tc>
        <w:tc>
          <w:tcPr>
            <w:tcW w:w="1534" w:type="dxa"/>
          </w:tcPr>
          <w:p w14:paraId="636669B1" w14:textId="77777777" w:rsidR="00272523" w:rsidRPr="00CF0A98" w:rsidRDefault="00272523" w:rsidP="00272523">
            <w:pPr>
              <w:pStyle w:val="Header"/>
              <w:tabs>
                <w:tab w:val="clear" w:pos="4320"/>
                <w:tab w:val="clear" w:pos="8640"/>
              </w:tabs>
              <w:rPr>
                <w:rFonts w:ascii="Arial" w:hAnsi="Arial" w:cs="Arial"/>
                <w:color w:val="0000FF"/>
              </w:rPr>
            </w:pPr>
            <w:r w:rsidRPr="00CF0A98">
              <w:rPr>
                <w:rFonts w:ascii="Arial" w:hAnsi="Arial" w:cs="Arial"/>
                <w:color w:val="0000FF"/>
              </w:rPr>
              <w:t>Matt Jones, Jack McAdams</w:t>
            </w:r>
          </w:p>
        </w:tc>
        <w:tc>
          <w:tcPr>
            <w:tcW w:w="1728" w:type="dxa"/>
          </w:tcPr>
          <w:p w14:paraId="636669B2" w14:textId="77777777" w:rsidR="00272523" w:rsidRPr="00CF0A98" w:rsidRDefault="00AD6F83" w:rsidP="00272523">
            <w:pPr>
              <w:pStyle w:val="Header"/>
              <w:tabs>
                <w:tab w:val="clear" w:pos="4320"/>
                <w:tab w:val="clear" w:pos="8640"/>
              </w:tabs>
              <w:rPr>
                <w:rFonts w:ascii="Arial" w:hAnsi="Arial" w:cs="Arial"/>
                <w:color w:val="0000FF"/>
              </w:rPr>
            </w:pPr>
            <w:r>
              <w:rPr>
                <w:rFonts w:ascii="Arial" w:hAnsi="Arial" w:cs="Arial"/>
                <w:color w:val="0000FF"/>
              </w:rPr>
              <w:t>ELC</w:t>
            </w:r>
          </w:p>
        </w:tc>
      </w:tr>
      <w:tr w:rsidR="00D96017" w:rsidRPr="00CF0A98" w14:paraId="4F83DEE4" w14:textId="77777777" w:rsidTr="00272523">
        <w:tc>
          <w:tcPr>
            <w:tcW w:w="1704" w:type="dxa"/>
          </w:tcPr>
          <w:p w14:paraId="0D717B41" w14:textId="110AB9F5" w:rsidR="00D96017" w:rsidRPr="00CF0A98" w:rsidRDefault="00D96017" w:rsidP="00272523">
            <w:pPr>
              <w:pStyle w:val="Header"/>
              <w:tabs>
                <w:tab w:val="clear" w:pos="4320"/>
                <w:tab w:val="clear" w:pos="8640"/>
              </w:tabs>
              <w:rPr>
                <w:rFonts w:ascii="Arial" w:hAnsi="Arial" w:cs="Arial"/>
                <w:color w:val="0000FF"/>
              </w:rPr>
            </w:pPr>
            <w:r>
              <w:rPr>
                <w:rFonts w:ascii="Arial" w:hAnsi="Arial" w:cs="Arial"/>
                <w:color w:val="0000FF"/>
              </w:rPr>
              <w:t>C</w:t>
            </w:r>
          </w:p>
        </w:tc>
        <w:tc>
          <w:tcPr>
            <w:tcW w:w="1143" w:type="dxa"/>
          </w:tcPr>
          <w:p w14:paraId="55921F90" w14:textId="638C9969" w:rsidR="00D96017" w:rsidRDefault="00D96017" w:rsidP="00272523">
            <w:pPr>
              <w:pStyle w:val="Header"/>
              <w:tabs>
                <w:tab w:val="clear" w:pos="4320"/>
                <w:tab w:val="clear" w:pos="8640"/>
              </w:tabs>
              <w:rPr>
                <w:rFonts w:ascii="Arial" w:hAnsi="Arial" w:cs="Arial"/>
                <w:color w:val="0000FF"/>
              </w:rPr>
            </w:pPr>
            <w:r>
              <w:rPr>
                <w:rFonts w:ascii="Arial" w:hAnsi="Arial" w:cs="Arial"/>
                <w:color w:val="0000FF"/>
              </w:rPr>
              <w:t>03/17/15</w:t>
            </w:r>
          </w:p>
        </w:tc>
        <w:tc>
          <w:tcPr>
            <w:tcW w:w="3467" w:type="dxa"/>
          </w:tcPr>
          <w:p w14:paraId="61D1C4EE" w14:textId="03E8C275" w:rsidR="00D96017" w:rsidRPr="00CF0A98" w:rsidRDefault="00D96017" w:rsidP="00272523">
            <w:pPr>
              <w:pStyle w:val="Header"/>
              <w:tabs>
                <w:tab w:val="clear" w:pos="4320"/>
                <w:tab w:val="clear" w:pos="8640"/>
              </w:tabs>
              <w:rPr>
                <w:rFonts w:ascii="Arial" w:hAnsi="Arial" w:cs="Arial"/>
                <w:color w:val="0000FF"/>
              </w:rPr>
            </w:pPr>
            <w:r>
              <w:rPr>
                <w:rFonts w:ascii="Arial" w:hAnsi="Arial" w:cs="Arial"/>
                <w:color w:val="0000FF"/>
              </w:rPr>
              <w:t>Section 5.1.1.1 – Exemption for cord/plug equipment as noted</w:t>
            </w:r>
          </w:p>
        </w:tc>
        <w:tc>
          <w:tcPr>
            <w:tcW w:w="1534" w:type="dxa"/>
          </w:tcPr>
          <w:p w14:paraId="477CD4B3" w14:textId="1378BEC0" w:rsidR="00D96017" w:rsidRPr="00CF0A98" w:rsidRDefault="00D96017" w:rsidP="00272523">
            <w:pPr>
              <w:pStyle w:val="Header"/>
              <w:tabs>
                <w:tab w:val="clear" w:pos="4320"/>
                <w:tab w:val="clear" w:pos="8640"/>
              </w:tabs>
              <w:rPr>
                <w:rFonts w:ascii="Arial" w:hAnsi="Arial" w:cs="Arial"/>
                <w:color w:val="0000FF"/>
              </w:rPr>
            </w:pPr>
            <w:r>
              <w:rPr>
                <w:rFonts w:ascii="Arial" w:hAnsi="Arial" w:cs="Arial"/>
                <w:color w:val="0000FF"/>
              </w:rPr>
              <w:t>Matt Jones</w:t>
            </w:r>
          </w:p>
        </w:tc>
        <w:tc>
          <w:tcPr>
            <w:tcW w:w="1728" w:type="dxa"/>
          </w:tcPr>
          <w:p w14:paraId="1AF8A2A2" w14:textId="1A3A80BA" w:rsidR="00D96017" w:rsidRDefault="00D96017" w:rsidP="00272523">
            <w:pPr>
              <w:pStyle w:val="Header"/>
              <w:tabs>
                <w:tab w:val="clear" w:pos="4320"/>
                <w:tab w:val="clear" w:pos="8640"/>
              </w:tabs>
              <w:rPr>
                <w:rFonts w:ascii="Arial" w:hAnsi="Arial" w:cs="Arial"/>
                <w:color w:val="0000FF"/>
              </w:rPr>
            </w:pPr>
            <w:r>
              <w:rPr>
                <w:rFonts w:ascii="Arial" w:hAnsi="Arial" w:cs="Arial"/>
                <w:color w:val="0000FF"/>
              </w:rPr>
              <w:t>ELC</w:t>
            </w:r>
          </w:p>
        </w:tc>
      </w:tr>
    </w:tbl>
    <w:p w14:paraId="636669B4" w14:textId="77777777" w:rsidR="00272523" w:rsidRPr="00CF0A98" w:rsidRDefault="00272523" w:rsidP="00272523">
      <w:pPr>
        <w:rPr>
          <w:rFonts w:ascii="Arial" w:hAnsi="Arial" w:cs="Arial"/>
        </w:rPr>
      </w:pPr>
    </w:p>
    <w:p w14:paraId="636669B5" w14:textId="77777777" w:rsidR="00272523" w:rsidRPr="00CF0A98" w:rsidRDefault="00272523" w:rsidP="00272523">
      <w:pPr>
        <w:pStyle w:val="AppendixHeading"/>
        <w:numPr>
          <w:ilvl w:val="0"/>
          <w:numId w:val="0"/>
        </w:numPr>
        <w:jc w:val="left"/>
        <w:rPr>
          <w:rFonts w:cs="Arial"/>
        </w:rPr>
      </w:pPr>
    </w:p>
    <w:p w14:paraId="636669B6" w14:textId="77777777" w:rsidR="00272523" w:rsidRPr="00CF0A98" w:rsidRDefault="00272523" w:rsidP="00384553">
      <w:pPr>
        <w:pStyle w:val="AppendixHeading"/>
        <w:numPr>
          <w:ilvl w:val="0"/>
          <w:numId w:val="0"/>
        </w:numPr>
        <w:outlineLvl w:val="0"/>
        <w:rPr>
          <w:rFonts w:cs="Arial"/>
        </w:rPr>
      </w:pPr>
      <w:bookmarkStart w:id="23" w:name="_Toc328738304"/>
      <w:bookmarkEnd w:id="23"/>
    </w:p>
    <w:p w14:paraId="636669B7" w14:textId="77777777" w:rsidR="007876AE" w:rsidRPr="00CF0A98" w:rsidRDefault="007876AE">
      <w:pPr>
        <w:rPr>
          <w:rFonts w:ascii="Arial" w:hAnsi="Arial" w:cs="Arial"/>
        </w:rPr>
      </w:pPr>
    </w:p>
    <w:sectPr w:rsidR="007876AE" w:rsidRPr="00CF0A98" w:rsidSect="00DA434A">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669BA" w14:textId="77777777" w:rsidR="00F71E3B" w:rsidRDefault="00F71E3B">
      <w:r>
        <w:separator/>
      </w:r>
    </w:p>
  </w:endnote>
  <w:endnote w:type="continuationSeparator" w:id="0">
    <w:p w14:paraId="636669BB" w14:textId="77777777" w:rsidR="00F71E3B" w:rsidRDefault="00F7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669C7" w14:textId="77777777" w:rsidR="00BC35A9" w:rsidRDefault="00A85A1A">
    <w:pPr>
      <w:pStyle w:val="Footer"/>
      <w:framePr w:wrap="around" w:vAnchor="text" w:hAnchor="margin" w:xAlign="center" w:y="1"/>
      <w:rPr>
        <w:rStyle w:val="PageNumber"/>
      </w:rPr>
    </w:pPr>
    <w:r>
      <w:rPr>
        <w:rStyle w:val="PageNumber"/>
      </w:rPr>
      <w:fldChar w:fldCharType="begin"/>
    </w:r>
    <w:r w:rsidR="00BC35A9">
      <w:rPr>
        <w:rStyle w:val="PageNumber"/>
      </w:rPr>
      <w:instrText xml:space="preserve">PAGE  </w:instrText>
    </w:r>
    <w:r>
      <w:rPr>
        <w:rStyle w:val="PageNumber"/>
      </w:rPr>
      <w:fldChar w:fldCharType="separate"/>
    </w:r>
    <w:r w:rsidR="00BC35A9">
      <w:rPr>
        <w:rStyle w:val="PageNumber"/>
        <w:noProof/>
      </w:rPr>
      <w:t>1</w:t>
    </w:r>
    <w:r>
      <w:rPr>
        <w:rStyle w:val="PageNumber"/>
      </w:rPr>
      <w:fldChar w:fldCharType="end"/>
    </w:r>
  </w:p>
  <w:p w14:paraId="636669C8" w14:textId="77777777" w:rsidR="00BC35A9" w:rsidRDefault="00BC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BC35A9" w:rsidRPr="007A7BB8" w14:paraId="636669CD" w14:textId="77777777" w:rsidTr="00AF5A51">
      <w:tc>
        <w:tcPr>
          <w:tcW w:w="727" w:type="dxa"/>
          <w:tcMar>
            <w:top w:w="14" w:type="dxa"/>
            <w:left w:w="115" w:type="dxa"/>
            <w:bottom w:w="14" w:type="dxa"/>
            <w:right w:w="115" w:type="dxa"/>
          </w:tcMar>
        </w:tcPr>
        <w:p w14:paraId="636669C9" w14:textId="77777777" w:rsidR="00BC35A9" w:rsidRPr="007A7BB8" w:rsidRDefault="00BC35A9"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36669CA" w14:textId="77777777" w:rsidR="00BC35A9" w:rsidRPr="007A7BB8" w:rsidRDefault="006A7642" w:rsidP="00AF5A51">
          <w:pPr>
            <w:tabs>
              <w:tab w:val="center" w:pos="4320"/>
              <w:tab w:val="right" w:pos="8640"/>
            </w:tabs>
            <w:jc w:val="center"/>
            <w:rPr>
              <w:snapToGrid w:val="0"/>
            </w:rPr>
          </w:pPr>
          <w:r>
            <w:rPr>
              <w:snapToGrid w:val="0"/>
            </w:rPr>
            <w:t>06.13 Equipment Installation</w:t>
          </w:r>
        </w:p>
      </w:tc>
      <w:tc>
        <w:tcPr>
          <w:tcW w:w="3780" w:type="dxa"/>
          <w:tcMar>
            <w:top w:w="14" w:type="dxa"/>
            <w:left w:w="115" w:type="dxa"/>
            <w:bottom w:w="14" w:type="dxa"/>
            <w:right w:w="115" w:type="dxa"/>
          </w:tcMar>
        </w:tcPr>
        <w:p w14:paraId="636669CB" w14:textId="77777777" w:rsidR="00BC35A9" w:rsidRPr="007A7BB8" w:rsidRDefault="00BC35A9"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A85A1A" w:rsidRPr="007E64CA">
            <w:rPr>
              <w:rStyle w:val="PageNumber"/>
              <w:rFonts w:cs="Arial"/>
            </w:rPr>
            <w:fldChar w:fldCharType="begin"/>
          </w:r>
          <w:r w:rsidRPr="007E64CA">
            <w:rPr>
              <w:rStyle w:val="PageNumber"/>
              <w:rFonts w:cs="Arial"/>
            </w:rPr>
            <w:instrText xml:space="preserve"> PAGE </w:instrText>
          </w:r>
          <w:r w:rsidR="00A85A1A" w:rsidRPr="007E64CA">
            <w:rPr>
              <w:rStyle w:val="PageNumber"/>
              <w:rFonts w:cs="Arial"/>
            </w:rPr>
            <w:fldChar w:fldCharType="separate"/>
          </w:r>
          <w:r w:rsidR="007C11CC">
            <w:rPr>
              <w:rStyle w:val="PageNumber"/>
              <w:rFonts w:cs="Arial"/>
              <w:noProof/>
            </w:rPr>
            <w:t>1</w:t>
          </w:r>
          <w:r w:rsidR="00A85A1A" w:rsidRPr="007E64CA">
            <w:rPr>
              <w:rStyle w:val="PageNumber"/>
              <w:rFonts w:cs="Arial"/>
            </w:rPr>
            <w:fldChar w:fldCharType="end"/>
          </w:r>
          <w:r w:rsidRPr="007E64CA">
            <w:rPr>
              <w:rStyle w:val="PageNumber"/>
              <w:rFonts w:cs="Arial"/>
            </w:rPr>
            <w:t xml:space="preserve"> of </w:t>
          </w:r>
          <w:r w:rsidR="00A85A1A" w:rsidRPr="007E64CA">
            <w:rPr>
              <w:rStyle w:val="PageNumber"/>
              <w:rFonts w:cs="Arial"/>
            </w:rPr>
            <w:fldChar w:fldCharType="begin"/>
          </w:r>
          <w:r w:rsidRPr="007E64CA">
            <w:rPr>
              <w:rStyle w:val="PageNumber"/>
              <w:rFonts w:cs="Arial"/>
            </w:rPr>
            <w:instrText xml:space="preserve"> NUMPAGES </w:instrText>
          </w:r>
          <w:r w:rsidR="00A85A1A" w:rsidRPr="007E64CA">
            <w:rPr>
              <w:rStyle w:val="PageNumber"/>
              <w:rFonts w:cs="Arial"/>
            </w:rPr>
            <w:fldChar w:fldCharType="separate"/>
          </w:r>
          <w:r w:rsidR="007C11CC">
            <w:rPr>
              <w:rStyle w:val="PageNumber"/>
              <w:rFonts w:cs="Arial"/>
              <w:noProof/>
            </w:rPr>
            <w:t>4</w:t>
          </w:r>
          <w:r w:rsidR="00A85A1A" w:rsidRPr="007E64CA">
            <w:rPr>
              <w:rStyle w:val="PageNumber"/>
              <w:rFonts w:cs="Arial"/>
            </w:rPr>
            <w:fldChar w:fldCharType="end"/>
          </w:r>
        </w:p>
      </w:tc>
      <w:tc>
        <w:tcPr>
          <w:tcW w:w="872" w:type="dxa"/>
          <w:tcMar>
            <w:top w:w="14" w:type="dxa"/>
            <w:left w:w="115" w:type="dxa"/>
            <w:bottom w:w="14" w:type="dxa"/>
            <w:right w:w="115" w:type="dxa"/>
          </w:tcMar>
        </w:tcPr>
        <w:p w14:paraId="636669CC" w14:textId="37047E48" w:rsidR="00BC35A9" w:rsidRPr="007A7BB8" w:rsidRDefault="00BC35A9" w:rsidP="00D96017">
          <w:pPr>
            <w:tabs>
              <w:tab w:val="center" w:pos="4320"/>
              <w:tab w:val="right" w:pos="8640"/>
            </w:tabs>
            <w:jc w:val="center"/>
            <w:rPr>
              <w:snapToGrid w:val="0"/>
            </w:rPr>
          </w:pPr>
          <w:r w:rsidRPr="007A7BB8">
            <w:rPr>
              <w:snapToGrid w:val="0"/>
            </w:rPr>
            <w:t xml:space="preserve">Rev </w:t>
          </w:r>
          <w:r w:rsidR="00D96017">
            <w:rPr>
              <w:snapToGrid w:val="0"/>
            </w:rPr>
            <w:t>C</w:t>
          </w:r>
        </w:p>
      </w:tc>
    </w:tr>
  </w:tbl>
  <w:p w14:paraId="636669CE" w14:textId="77777777" w:rsidR="00BC35A9" w:rsidRDefault="00BC35A9">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BC35A9" w:rsidRPr="007A7BB8" w14:paraId="636669DE" w14:textId="77777777" w:rsidTr="00AF5A51">
      <w:tc>
        <w:tcPr>
          <w:tcW w:w="727" w:type="dxa"/>
          <w:tcMar>
            <w:top w:w="14" w:type="dxa"/>
            <w:left w:w="115" w:type="dxa"/>
            <w:bottom w:w="14" w:type="dxa"/>
            <w:right w:w="115" w:type="dxa"/>
          </w:tcMar>
        </w:tcPr>
        <w:p w14:paraId="636669DA" w14:textId="77777777" w:rsidR="00BC35A9" w:rsidRPr="007A7BB8" w:rsidRDefault="00BC35A9"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36669DB" w14:textId="77777777" w:rsidR="00BC35A9" w:rsidRDefault="00BC35A9">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636669DC" w14:textId="77777777" w:rsidR="00BC35A9" w:rsidRPr="007A7BB8" w:rsidRDefault="00BC35A9"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A85A1A" w:rsidRPr="007E64CA">
            <w:rPr>
              <w:rStyle w:val="PageNumber"/>
              <w:rFonts w:cs="Arial"/>
            </w:rPr>
            <w:fldChar w:fldCharType="begin"/>
          </w:r>
          <w:r w:rsidRPr="007E64CA">
            <w:rPr>
              <w:rStyle w:val="PageNumber"/>
              <w:rFonts w:cs="Arial"/>
            </w:rPr>
            <w:instrText xml:space="preserve"> PAGE </w:instrText>
          </w:r>
          <w:r w:rsidR="00A85A1A" w:rsidRPr="007E64CA">
            <w:rPr>
              <w:rStyle w:val="PageNumber"/>
              <w:rFonts w:cs="Arial"/>
            </w:rPr>
            <w:fldChar w:fldCharType="separate"/>
          </w:r>
          <w:r>
            <w:rPr>
              <w:rStyle w:val="PageNumber"/>
              <w:rFonts w:cs="Arial"/>
              <w:noProof/>
            </w:rPr>
            <w:t>1</w:t>
          </w:r>
          <w:r w:rsidR="00A85A1A" w:rsidRPr="007E64CA">
            <w:rPr>
              <w:rStyle w:val="PageNumber"/>
              <w:rFonts w:cs="Arial"/>
            </w:rPr>
            <w:fldChar w:fldCharType="end"/>
          </w:r>
          <w:r w:rsidRPr="007E64CA">
            <w:rPr>
              <w:rStyle w:val="PageNumber"/>
              <w:rFonts w:cs="Arial"/>
            </w:rPr>
            <w:t xml:space="preserve"> of </w:t>
          </w:r>
          <w:r w:rsidR="00A85A1A" w:rsidRPr="007E64CA">
            <w:rPr>
              <w:rStyle w:val="PageNumber"/>
              <w:rFonts w:cs="Arial"/>
            </w:rPr>
            <w:fldChar w:fldCharType="begin"/>
          </w:r>
          <w:r w:rsidRPr="007E64CA">
            <w:rPr>
              <w:rStyle w:val="PageNumber"/>
              <w:rFonts w:cs="Arial"/>
            </w:rPr>
            <w:instrText xml:space="preserve"> NUMPAGES </w:instrText>
          </w:r>
          <w:r w:rsidR="00A85A1A" w:rsidRPr="007E64CA">
            <w:rPr>
              <w:rStyle w:val="PageNumber"/>
              <w:rFonts w:cs="Arial"/>
            </w:rPr>
            <w:fldChar w:fldCharType="separate"/>
          </w:r>
          <w:r w:rsidR="00080897">
            <w:rPr>
              <w:rStyle w:val="PageNumber"/>
              <w:rFonts w:cs="Arial"/>
              <w:noProof/>
            </w:rPr>
            <w:t>4</w:t>
          </w:r>
          <w:r w:rsidR="00A85A1A" w:rsidRPr="007E64CA">
            <w:rPr>
              <w:rStyle w:val="PageNumber"/>
              <w:rFonts w:cs="Arial"/>
            </w:rPr>
            <w:fldChar w:fldCharType="end"/>
          </w:r>
        </w:p>
      </w:tc>
      <w:tc>
        <w:tcPr>
          <w:tcW w:w="872" w:type="dxa"/>
          <w:tcMar>
            <w:top w:w="14" w:type="dxa"/>
            <w:left w:w="115" w:type="dxa"/>
            <w:bottom w:w="14" w:type="dxa"/>
            <w:right w:w="115" w:type="dxa"/>
          </w:tcMar>
        </w:tcPr>
        <w:p w14:paraId="636669DD" w14:textId="77777777" w:rsidR="00BC35A9" w:rsidRPr="007A7BB8" w:rsidRDefault="00BC35A9" w:rsidP="00AF5A51">
          <w:pPr>
            <w:tabs>
              <w:tab w:val="center" w:pos="4320"/>
              <w:tab w:val="right" w:pos="8640"/>
            </w:tabs>
            <w:jc w:val="center"/>
            <w:rPr>
              <w:snapToGrid w:val="0"/>
            </w:rPr>
          </w:pPr>
          <w:r w:rsidRPr="007A7BB8">
            <w:rPr>
              <w:snapToGrid w:val="0"/>
            </w:rPr>
            <w:t xml:space="preserve">Rev </w:t>
          </w:r>
          <w:r>
            <w:rPr>
              <w:snapToGrid w:val="0"/>
            </w:rPr>
            <w:t>C</w:t>
          </w:r>
        </w:p>
      </w:tc>
    </w:tr>
  </w:tbl>
  <w:p w14:paraId="636669DF" w14:textId="77777777" w:rsidR="00BC35A9" w:rsidRDefault="00BC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669B8" w14:textId="77777777" w:rsidR="00F71E3B" w:rsidRDefault="00F71E3B">
      <w:r>
        <w:separator/>
      </w:r>
    </w:p>
  </w:footnote>
  <w:footnote w:type="continuationSeparator" w:id="0">
    <w:p w14:paraId="636669B9" w14:textId="77777777" w:rsidR="00F71E3B" w:rsidRDefault="00F7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BC35A9" w:rsidRPr="007A7BB8" w14:paraId="636669BF" w14:textId="77777777" w:rsidTr="00AF5A51">
      <w:tc>
        <w:tcPr>
          <w:tcW w:w="5112" w:type="dxa"/>
        </w:tcPr>
        <w:p w14:paraId="636669BC" w14:textId="77777777" w:rsidR="00BC35A9" w:rsidRPr="007A7BB8" w:rsidRDefault="00BC35A9" w:rsidP="00AF5A51">
          <w:pPr>
            <w:tabs>
              <w:tab w:val="center" w:pos="4320"/>
              <w:tab w:val="right" w:pos="8640"/>
            </w:tabs>
            <w:jc w:val="both"/>
          </w:pPr>
          <w:r>
            <w:rPr>
              <w:noProof/>
            </w:rPr>
            <w:drawing>
              <wp:inline distT="0" distB="0" distL="0" distR="0" wp14:anchorId="636669E0" wp14:editId="636669E1">
                <wp:extent cx="1866900" cy="219075"/>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19075"/>
                        </a:xfrm>
                        <a:prstGeom prst="rect">
                          <a:avLst/>
                        </a:prstGeom>
                        <a:noFill/>
                        <a:ln w="9525">
                          <a:noFill/>
                          <a:miter lim="800000"/>
                          <a:headEnd/>
                          <a:tailEnd/>
                        </a:ln>
                      </pic:spPr>
                    </pic:pic>
                  </a:graphicData>
                </a:graphic>
              </wp:inline>
            </w:drawing>
          </w:r>
        </w:p>
      </w:tc>
      <w:tc>
        <w:tcPr>
          <w:tcW w:w="5148" w:type="dxa"/>
          <w:vAlign w:val="center"/>
        </w:tcPr>
        <w:p w14:paraId="636669BD" w14:textId="77777777" w:rsidR="00BC35A9" w:rsidRDefault="00BC35A9" w:rsidP="00AF5A51">
          <w:pPr>
            <w:tabs>
              <w:tab w:val="center" w:pos="4320"/>
              <w:tab w:val="right" w:pos="8640"/>
            </w:tabs>
            <w:jc w:val="right"/>
          </w:pPr>
          <w:r>
            <w:t>TI Information – Selective Disclosure</w:t>
          </w:r>
        </w:p>
        <w:p w14:paraId="636669BE" w14:textId="77777777" w:rsidR="00BC35A9" w:rsidRPr="007A7BB8" w:rsidRDefault="00BC35A9" w:rsidP="00126FCB">
          <w:pPr>
            <w:tabs>
              <w:tab w:val="center" w:pos="4320"/>
              <w:tab w:val="right" w:pos="8640"/>
            </w:tabs>
            <w:jc w:val="right"/>
          </w:pPr>
          <w:r>
            <w:t>Effective</w:t>
          </w:r>
          <w:r w:rsidR="00126FCB">
            <w:t>: December 30, 2013</w:t>
          </w:r>
        </w:p>
      </w:tc>
    </w:tr>
  </w:tbl>
  <w:p w14:paraId="636669C0" w14:textId="77777777" w:rsidR="00BC35A9" w:rsidRPr="007A7BB8" w:rsidRDefault="00BC35A9" w:rsidP="00691F08">
    <w:pPr>
      <w:tabs>
        <w:tab w:val="center" w:pos="4320"/>
        <w:tab w:val="right" w:pos="8640"/>
      </w:tabs>
      <w:jc w:val="both"/>
    </w:pPr>
  </w:p>
  <w:p w14:paraId="636669C1" w14:textId="77777777" w:rsidR="00BC35A9" w:rsidRPr="004B610F" w:rsidRDefault="00BC35A9" w:rsidP="00691F08">
    <w:pPr>
      <w:jc w:val="center"/>
      <w:rPr>
        <w:b/>
        <w:bCs/>
        <w:sz w:val="24"/>
      </w:rPr>
    </w:pPr>
    <w:r>
      <w:rPr>
        <w:b/>
        <w:bCs/>
        <w:sz w:val="24"/>
      </w:rPr>
      <w:t>TI ESH Standard 06.13 – Equipment Installation</w:t>
    </w:r>
  </w:p>
  <w:p w14:paraId="636669C2" w14:textId="77777777" w:rsidR="00BC35A9" w:rsidRPr="007A7BB8" w:rsidRDefault="00BC35A9" w:rsidP="00691F08">
    <w:pPr>
      <w:pBdr>
        <w:bottom w:val="single" w:sz="12" w:space="1" w:color="auto"/>
      </w:pBdr>
      <w:tabs>
        <w:tab w:val="center" w:pos="4320"/>
        <w:tab w:val="right" w:pos="8640"/>
      </w:tabs>
      <w:jc w:val="center"/>
      <w:rPr>
        <w:b/>
        <w:bCs/>
      </w:rPr>
    </w:pPr>
  </w:p>
  <w:p w14:paraId="636669C3" w14:textId="77777777" w:rsidR="00BC35A9" w:rsidRPr="007A7BB8" w:rsidRDefault="00BC35A9" w:rsidP="00691F08">
    <w:pPr>
      <w:tabs>
        <w:tab w:val="center" w:pos="4320"/>
        <w:tab w:val="right" w:pos="8640"/>
      </w:tabs>
      <w:rPr>
        <w:b/>
        <w:bCs/>
      </w:rPr>
    </w:pPr>
  </w:p>
  <w:p w14:paraId="636669C4" w14:textId="77777777" w:rsidR="00BC35A9" w:rsidRPr="007A7BB8" w:rsidRDefault="00BC35A9"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36669C5" w14:textId="77777777" w:rsidR="00BC35A9" w:rsidRPr="007A7BB8" w:rsidRDefault="00BC35A9" w:rsidP="00691F08">
    <w:pPr>
      <w:pBdr>
        <w:bottom w:val="single" w:sz="12" w:space="1" w:color="auto"/>
      </w:pBdr>
      <w:tabs>
        <w:tab w:val="center" w:pos="4320"/>
        <w:tab w:val="right" w:pos="8640"/>
      </w:tabs>
      <w:jc w:val="center"/>
      <w:rPr>
        <w:b/>
        <w:bCs/>
      </w:rPr>
    </w:pPr>
  </w:p>
  <w:p w14:paraId="636669C6" w14:textId="77777777" w:rsidR="00BC35A9" w:rsidRDefault="00BC35A9">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BC35A9" w:rsidRPr="007A7BB8" w14:paraId="636669D1" w14:textId="77777777" w:rsidTr="00AF5A51">
      <w:tc>
        <w:tcPr>
          <w:tcW w:w="5112" w:type="dxa"/>
        </w:tcPr>
        <w:p w14:paraId="636669CF" w14:textId="77777777" w:rsidR="00BC35A9" w:rsidRPr="007A7BB8" w:rsidRDefault="00BC35A9" w:rsidP="00AF5A51">
          <w:pPr>
            <w:tabs>
              <w:tab w:val="center" w:pos="4320"/>
              <w:tab w:val="right" w:pos="8640"/>
            </w:tabs>
            <w:jc w:val="both"/>
          </w:pPr>
          <w:r>
            <w:rPr>
              <w:noProof/>
            </w:rPr>
            <w:drawing>
              <wp:inline distT="0" distB="0" distL="0" distR="0" wp14:anchorId="636669E2" wp14:editId="636669E3">
                <wp:extent cx="1866900" cy="219075"/>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219075"/>
                        </a:xfrm>
                        <a:prstGeom prst="rect">
                          <a:avLst/>
                        </a:prstGeom>
                        <a:noFill/>
                        <a:ln w="9525">
                          <a:noFill/>
                          <a:miter lim="800000"/>
                          <a:headEnd/>
                          <a:tailEnd/>
                        </a:ln>
                      </pic:spPr>
                    </pic:pic>
                  </a:graphicData>
                </a:graphic>
              </wp:inline>
            </w:drawing>
          </w:r>
        </w:p>
      </w:tc>
      <w:tc>
        <w:tcPr>
          <w:tcW w:w="5148" w:type="dxa"/>
          <w:vAlign w:val="center"/>
        </w:tcPr>
        <w:p w14:paraId="636669D0" w14:textId="77777777" w:rsidR="00BC35A9" w:rsidRPr="007A7BB8" w:rsidRDefault="00BC35A9" w:rsidP="00AF5A51">
          <w:pPr>
            <w:tabs>
              <w:tab w:val="center" w:pos="4320"/>
              <w:tab w:val="right" w:pos="8640"/>
            </w:tabs>
            <w:jc w:val="right"/>
          </w:pPr>
          <w:r>
            <w:t>WWESH</w:t>
          </w:r>
        </w:p>
      </w:tc>
    </w:tr>
  </w:tbl>
  <w:p w14:paraId="636669D2" w14:textId="77777777" w:rsidR="00BC35A9" w:rsidRPr="007A7BB8" w:rsidRDefault="00BC35A9" w:rsidP="00DA6132">
    <w:pPr>
      <w:tabs>
        <w:tab w:val="center" w:pos="4320"/>
        <w:tab w:val="right" w:pos="8640"/>
      </w:tabs>
      <w:jc w:val="both"/>
    </w:pPr>
  </w:p>
  <w:p w14:paraId="636669D3" w14:textId="77777777" w:rsidR="00BC35A9" w:rsidRDefault="00BC35A9" w:rsidP="00DA6132">
    <w:pPr>
      <w:jc w:val="center"/>
      <w:rPr>
        <w:b/>
        <w:bCs/>
        <w:sz w:val="24"/>
      </w:rPr>
    </w:pPr>
    <w:r>
      <w:rPr>
        <w:b/>
        <w:bCs/>
        <w:sz w:val="24"/>
      </w:rPr>
      <w:t>Document No. xxx-S</w:t>
    </w:r>
  </w:p>
  <w:p w14:paraId="636669D4" w14:textId="77777777" w:rsidR="00BC35A9" w:rsidRPr="004B610F" w:rsidRDefault="00BC35A9" w:rsidP="00DA6132">
    <w:pPr>
      <w:jc w:val="center"/>
      <w:rPr>
        <w:b/>
        <w:bCs/>
        <w:sz w:val="24"/>
      </w:rPr>
    </w:pPr>
    <w:r>
      <w:rPr>
        <w:b/>
        <w:bCs/>
        <w:sz w:val="24"/>
      </w:rPr>
      <w:t>TITLE</w:t>
    </w:r>
  </w:p>
  <w:p w14:paraId="636669D5" w14:textId="77777777" w:rsidR="00BC35A9" w:rsidRPr="007A7BB8" w:rsidRDefault="00BC35A9" w:rsidP="00DA6132">
    <w:pPr>
      <w:pBdr>
        <w:bottom w:val="single" w:sz="12" w:space="1" w:color="auto"/>
      </w:pBdr>
      <w:tabs>
        <w:tab w:val="center" w:pos="4320"/>
        <w:tab w:val="right" w:pos="8640"/>
      </w:tabs>
      <w:jc w:val="center"/>
      <w:rPr>
        <w:b/>
        <w:bCs/>
      </w:rPr>
    </w:pPr>
  </w:p>
  <w:p w14:paraId="636669D6" w14:textId="77777777" w:rsidR="00BC35A9" w:rsidRPr="007A7BB8" w:rsidRDefault="00BC35A9" w:rsidP="00DA6132">
    <w:pPr>
      <w:tabs>
        <w:tab w:val="center" w:pos="4320"/>
        <w:tab w:val="right" w:pos="8640"/>
      </w:tabs>
      <w:rPr>
        <w:b/>
        <w:bCs/>
      </w:rPr>
    </w:pPr>
  </w:p>
  <w:p w14:paraId="636669D7" w14:textId="77777777" w:rsidR="00BC35A9" w:rsidRPr="007A7BB8" w:rsidRDefault="00BC35A9"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36669D8" w14:textId="77777777" w:rsidR="00BC35A9" w:rsidRPr="007A7BB8" w:rsidRDefault="00BC35A9" w:rsidP="00DA6132">
    <w:pPr>
      <w:pBdr>
        <w:bottom w:val="single" w:sz="12" w:space="1" w:color="auto"/>
      </w:pBdr>
      <w:tabs>
        <w:tab w:val="center" w:pos="4320"/>
        <w:tab w:val="right" w:pos="8640"/>
      </w:tabs>
      <w:jc w:val="center"/>
      <w:rPr>
        <w:b/>
        <w:bCs/>
      </w:rPr>
    </w:pPr>
  </w:p>
  <w:p w14:paraId="636669D9" w14:textId="77777777" w:rsidR="00BC35A9" w:rsidRDefault="00BC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shadow w:val="0"/>
        <w:emboss w:val="0"/>
        <w:imprint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58252C7"/>
    <w:multiLevelType w:val="hybridMultilevel"/>
    <w:tmpl w:val="2682A1D4"/>
    <w:lvl w:ilvl="0" w:tplc="40D224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0">
    <w:nsid w:val="39AA0128"/>
    <w:multiLevelType w:val="multilevel"/>
    <w:tmpl w:val="EA52DA3A"/>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outline w:val="0"/>
        <w:shadow w:val="0"/>
        <w:emboss w:val="0"/>
        <w:imprint w:val="0"/>
        <w:vanish w:val="0"/>
        <w:spacing w:val="0"/>
        <w:w w:val="0"/>
        <w:kern w:val="0"/>
        <w:position w:val="0"/>
        <w:u w:val="none"/>
        <w:vertAlign w:val="base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2">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3">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outline w:val="0"/>
        <w:shadow w:val="0"/>
        <w:emboss w:val="0"/>
        <w:imprint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5">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7">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0">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15840"/>
        </w:tabs>
      </w:pPr>
      <w:rPr>
        <w:rFonts w:cs="Times New Roman" w:hint="default"/>
      </w:rPr>
    </w:lvl>
    <w:lvl w:ilvl="2">
      <w:start w:val="1"/>
      <w:numFmt w:val="decimal"/>
      <w:lvlText w:val="%1.%2.%3"/>
      <w:lvlJc w:val="left"/>
      <w:pPr>
        <w:tabs>
          <w:tab w:val="num" w:pos="15840"/>
        </w:tabs>
      </w:pPr>
      <w:rPr>
        <w:rFonts w:cs="Times New Roman" w:hint="default"/>
      </w:rPr>
    </w:lvl>
    <w:lvl w:ilvl="3">
      <w:start w:val="1"/>
      <w:numFmt w:val="decimal"/>
      <w:lvlText w:val="%1.%2.%3.%4"/>
      <w:lvlJc w:val="left"/>
      <w:pPr>
        <w:tabs>
          <w:tab w:val="num" w:pos="15840"/>
        </w:tabs>
      </w:pPr>
      <w:rPr>
        <w:rFonts w:cs="Times New Roman" w:hint="default"/>
      </w:rPr>
    </w:lvl>
    <w:lvl w:ilvl="4">
      <w:start w:val="1"/>
      <w:numFmt w:val="decimal"/>
      <w:lvlText w:val="%1.%2.%3.%4.%5"/>
      <w:lvlJc w:val="left"/>
      <w:pPr>
        <w:tabs>
          <w:tab w:val="num" w:pos="15840"/>
        </w:tabs>
      </w:pPr>
      <w:rPr>
        <w:rFonts w:cs="Times New Roman" w:hint="default"/>
      </w:rPr>
    </w:lvl>
    <w:lvl w:ilvl="5">
      <w:start w:val="1"/>
      <w:numFmt w:val="decimal"/>
      <w:lvlText w:val="%1.%2.%3.%4.%5.%6"/>
      <w:lvlJc w:val="left"/>
      <w:pPr>
        <w:tabs>
          <w:tab w:val="num" w:pos="15840"/>
        </w:tabs>
      </w:pPr>
      <w:rPr>
        <w:rFonts w:cs="Times New Roman" w:hint="default"/>
      </w:rPr>
    </w:lvl>
    <w:lvl w:ilvl="6">
      <w:start w:val="1"/>
      <w:numFmt w:val="decimal"/>
      <w:lvlText w:val="%1.%2.%3.%4.%5.%6.%7"/>
      <w:lvlJc w:val="left"/>
      <w:pPr>
        <w:tabs>
          <w:tab w:val="num" w:pos="15840"/>
        </w:tabs>
      </w:pPr>
      <w:rPr>
        <w:rFonts w:cs="Times New Roman" w:hint="default"/>
      </w:rPr>
    </w:lvl>
    <w:lvl w:ilvl="7">
      <w:start w:val="1"/>
      <w:numFmt w:val="decimal"/>
      <w:lvlText w:val="%1.%2.%3.%4.%5.%6.%7.%8"/>
      <w:lvlJc w:val="left"/>
      <w:pPr>
        <w:tabs>
          <w:tab w:val="num" w:pos="15840"/>
        </w:tabs>
      </w:pPr>
      <w:rPr>
        <w:rFonts w:cs="Times New Roman" w:hint="default"/>
      </w:rPr>
    </w:lvl>
    <w:lvl w:ilvl="8">
      <w:start w:val="1"/>
      <w:numFmt w:val="decimal"/>
      <w:lvlText w:val="%1.%2.%3.%4.%5.%6.%7.%8.%9"/>
      <w:lvlJc w:val="left"/>
      <w:pPr>
        <w:tabs>
          <w:tab w:val="num" w:pos="15840"/>
        </w:tabs>
      </w:pPr>
      <w:rPr>
        <w:rFonts w:cs="Times New Roman" w:hint="default"/>
      </w:rPr>
    </w:lvl>
  </w:abstractNum>
  <w:abstractNum w:abstractNumId="21">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2">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5"/>
  </w:num>
  <w:num w:numId="2">
    <w:abstractNumId w:val="16"/>
  </w:num>
  <w:num w:numId="3">
    <w:abstractNumId w:val="2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0"/>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2"/>
  </w:num>
  <w:num w:numId="12">
    <w:abstractNumId w:val="8"/>
  </w:num>
  <w:num w:numId="13">
    <w:abstractNumId w:val="18"/>
  </w:num>
  <w:num w:numId="14">
    <w:abstractNumId w:val="3"/>
  </w:num>
  <w:num w:numId="15">
    <w:abstractNumId w:val="15"/>
  </w:num>
  <w:num w:numId="16">
    <w:abstractNumId w:val="17"/>
  </w:num>
  <w:num w:numId="17">
    <w:abstractNumId w:val="14"/>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0"/>
    <w:lvlOverride w:ilvl="0">
      <w:startOverride w:val="5"/>
    </w:lvlOverride>
    <w:lvlOverride w:ilvl="1">
      <w:startOverride w:val="1"/>
    </w:lvlOverride>
    <w:lvlOverride w:ilvl="2">
      <w:startOverride w:val="3"/>
    </w:lvlOverride>
  </w:num>
  <w:num w:numId="28">
    <w:abstractNumId w:val="10"/>
  </w:num>
  <w:num w:numId="29">
    <w:abstractNumId w:val="10"/>
    <w:lvlOverride w:ilvl="0">
      <w:startOverride w:val="5"/>
    </w:lvlOverride>
    <w:lvlOverride w:ilvl="1">
      <w:startOverride w:val="11"/>
    </w:lvlOverride>
    <w:lvlOverride w:ilvl="2">
      <w:startOverride w:val="3"/>
    </w:lvlOverride>
  </w:num>
  <w:num w:numId="30">
    <w:abstractNumId w:val="10"/>
    <w:lvlOverride w:ilvl="0">
      <w:startOverride w:val="5"/>
    </w:lvlOverride>
    <w:lvlOverride w:ilvl="1">
      <w:startOverride w:val="11"/>
    </w:lvlOverride>
    <w:lvlOverride w:ilvl="2">
      <w:startOverride w:val="3"/>
    </w:lvlOverride>
    <w:lvlOverride w:ilvl="3">
      <w:startOverride w:val="2"/>
    </w:lvlOverride>
  </w:num>
  <w:num w:numId="31">
    <w:abstractNumId w:val="19"/>
  </w:num>
  <w:num w:numId="32">
    <w:abstractNumId w:val="9"/>
  </w:num>
  <w:num w:numId="33">
    <w:abstractNumId w:val="19"/>
    <w:lvlOverride w:ilvl="0">
      <w:startOverride w:val="1"/>
    </w:lvlOverride>
  </w:num>
  <w:num w:numId="34">
    <w:abstractNumId w:val="19"/>
    <w:lvlOverride w:ilvl="0">
      <w:startOverride w:val="1"/>
    </w:lvlOverride>
  </w:num>
  <w:num w:numId="35">
    <w:abstractNumId w:val="22"/>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AA7685"/>
    <w:rsid w:val="00011572"/>
    <w:rsid w:val="00012E28"/>
    <w:rsid w:val="000224D0"/>
    <w:rsid w:val="00030E2D"/>
    <w:rsid w:val="00031932"/>
    <w:rsid w:val="000377CB"/>
    <w:rsid w:val="000378FF"/>
    <w:rsid w:val="0004203C"/>
    <w:rsid w:val="00046264"/>
    <w:rsid w:val="00047F91"/>
    <w:rsid w:val="000564B8"/>
    <w:rsid w:val="0005731E"/>
    <w:rsid w:val="00067F28"/>
    <w:rsid w:val="00074E7B"/>
    <w:rsid w:val="00080897"/>
    <w:rsid w:val="000815BE"/>
    <w:rsid w:val="00084B1A"/>
    <w:rsid w:val="00093AAB"/>
    <w:rsid w:val="000A2C99"/>
    <w:rsid w:val="000A6D72"/>
    <w:rsid w:val="000A7425"/>
    <w:rsid w:val="000B13F5"/>
    <w:rsid w:val="000B38CD"/>
    <w:rsid w:val="000C0321"/>
    <w:rsid w:val="000C03BB"/>
    <w:rsid w:val="000C2B5C"/>
    <w:rsid w:val="000C3968"/>
    <w:rsid w:val="000D791D"/>
    <w:rsid w:val="000E2B0C"/>
    <w:rsid w:val="000E6072"/>
    <w:rsid w:val="000F0C95"/>
    <w:rsid w:val="000F43FD"/>
    <w:rsid w:val="00122352"/>
    <w:rsid w:val="00126FCB"/>
    <w:rsid w:val="001328C7"/>
    <w:rsid w:val="00132EF0"/>
    <w:rsid w:val="00133381"/>
    <w:rsid w:val="001348A2"/>
    <w:rsid w:val="001363EF"/>
    <w:rsid w:val="001407C9"/>
    <w:rsid w:val="00143F11"/>
    <w:rsid w:val="0015258D"/>
    <w:rsid w:val="001529B9"/>
    <w:rsid w:val="00155C15"/>
    <w:rsid w:val="00160586"/>
    <w:rsid w:val="001704EB"/>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D3922"/>
    <w:rsid w:val="001D3BB8"/>
    <w:rsid w:val="001F2C82"/>
    <w:rsid w:val="001F2EFD"/>
    <w:rsid w:val="001F345B"/>
    <w:rsid w:val="001F6F07"/>
    <w:rsid w:val="00205AAA"/>
    <w:rsid w:val="00211888"/>
    <w:rsid w:val="00211E74"/>
    <w:rsid w:val="0021630C"/>
    <w:rsid w:val="002212B8"/>
    <w:rsid w:val="00221A0F"/>
    <w:rsid w:val="00221EB8"/>
    <w:rsid w:val="00225F5E"/>
    <w:rsid w:val="0022643D"/>
    <w:rsid w:val="00246F39"/>
    <w:rsid w:val="00246F6D"/>
    <w:rsid w:val="00251F3B"/>
    <w:rsid w:val="002558D5"/>
    <w:rsid w:val="0027223A"/>
    <w:rsid w:val="00272523"/>
    <w:rsid w:val="002769F7"/>
    <w:rsid w:val="00282EBC"/>
    <w:rsid w:val="0028448E"/>
    <w:rsid w:val="00286F22"/>
    <w:rsid w:val="00286FA7"/>
    <w:rsid w:val="0028705C"/>
    <w:rsid w:val="00295934"/>
    <w:rsid w:val="00297BCF"/>
    <w:rsid w:val="002A25CC"/>
    <w:rsid w:val="002B3F6E"/>
    <w:rsid w:val="002C341A"/>
    <w:rsid w:val="002C730E"/>
    <w:rsid w:val="002D042E"/>
    <w:rsid w:val="002D2374"/>
    <w:rsid w:val="002D58CC"/>
    <w:rsid w:val="002D5CBD"/>
    <w:rsid w:val="002D7940"/>
    <w:rsid w:val="002E0A74"/>
    <w:rsid w:val="002F2E4A"/>
    <w:rsid w:val="002F718F"/>
    <w:rsid w:val="003177F7"/>
    <w:rsid w:val="003271AB"/>
    <w:rsid w:val="00333F78"/>
    <w:rsid w:val="00335C01"/>
    <w:rsid w:val="00336B9A"/>
    <w:rsid w:val="00342375"/>
    <w:rsid w:val="00363064"/>
    <w:rsid w:val="003700D3"/>
    <w:rsid w:val="00370492"/>
    <w:rsid w:val="003807E2"/>
    <w:rsid w:val="003841DE"/>
    <w:rsid w:val="00384553"/>
    <w:rsid w:val="003854F3"/>
    <w:rsid w:val="0039399F"/>
    <w:rsid w:val="003A299D"/>
    <w:rsid w:val="003A3ACC"/>
    <w:rsid w:val="003B06DF"/>
    <w:rsid w:val="003B1F20"/>
    <w:rsid w:val="003B5520"/>
    <w:rsid w:val="003B6D50"/>
    <w:rsid w:val="003C2545"/>
    <w:rsid w:val="003D3EF3"/>
    <w:rsid w:val="003D4081"/>
    <w:rsid w:val="003D7EC4"/>
    <w:rsid w:val="003E4F9F"/>
    <w:rsid w:val="003E7971"/>
    <w:rsid w:val="003F7F74"/>
    <w:rsid w:val="00401360"/>
    <w:rsid w:val="0040355D"/>
    <w:rsid w:val="00404C81"/>
    <w:rsid w:val="0040793E"/>
    <w:rsid w:val="004135DB"/>
    <w:rsid w:val="004262A6"/>
    <w:rsid w:val="004272F2"/>
    <w:rsid w:val="00432AEA"/>
    <w:rsid w:val="0043782A"/>
    <w:rsid w:val="0044212B"/>
    <w:rsid w:val="00442F9B"/>
    <w:rsid w:val="00445A27"/>
    <w:rsid w:val="0046187A"/>
    <w:rsid w:val="004706D6"/>
    <w:rsid w:val="0048334E"/>
    <w:rsid w:val="004A7C84"/>
    <w:rsid w:val="004B610F"/>
    <w:rsid w:val="004C2E23"/>
    <w:rsid w:val="004C6974"/>
    <w:rsid w:val="004E04A3"/>
    <w:rsid w:val="004E12D0"/>
    <w:rsid w:val="004E3993"/>
    <w:rsid w:val="004F0864"/>
    <w:rsid w:val="004F33FE"/>
    <w:rsid w:val="004F4837"/>
    <w:rsid w:val="00517516"/>
    <w:rsid w:val="00521323"/>
    <w:rsid w:val="005369AB"/>
    <w:rsid w:val="0054622D"/>
    <w:rsid w:val="005505D7"/>
    <w:rsid w:val="00552308"/>
    <w:rsid w:val="00554421"/>
    <w:rsid w:val="00567C5B"/>
    <w:rsid w:val="00576794"/>
    <w:rsid w:val="00577D8C"/>
    <w:rsid w:val="00583408"/>
    <w:rsid w:val="005836EF"/>
    <w:rsid w:val="005907E4"/>
    <w:rsid w:val="00591BE0"/>
    <w:rsid w:val="005B1DC5"/>
    <w:rsid w:val="005B2A4F"/>
    <w:rsid w:val="005B32E5"/>
    <w:rsid w:val="005E1789"/>
    <w:rsid w:val="005E1F2F"/>
    <w:rsid w:val="005E2A40"/>
    <w:rsid w:val="005F47A2"/>
    <w:rsid w:val="0060005F"/>
    <w:rsid w:val="00600B30"/>
    <w:rsid w:val="006067BA"/>
    <w:rsid w:val="00607211"/>
    <w:rsid w:val="00625EB8"/>
    <w:rsid w:val="00626293"/>
    <w:rsid w:val="00627F3E"/>
    <w:rsid w:val="006309BC"/>
    <w:rsid w:val="00631283"/>
    <w:rsid w:val="00635AD3"/>
    <w:rsid w:val="00641E5F"/>
    <w:rsid w:val="00645A8E"/>
    <w:rsid w:val="006465F8"/>
    <w:rsid w:val="00646FEF"/>
    <w:rsid w:val="006542E7"/>
    <w:rsid w:val="006620F1"/>
    <w:rsid w:val="0067388A"/>
    <w:rsid w:val="00675200"/>
    <w:rsid w:val="00684329"/>
    <w:rsid w:val="00686C7E"/>
    <w:rsid w:val="00687930"/>
    <w:rsid w:val="00691F08"/>
    <w:rsid w:val="0069328C"/>
    <w:rsid w:val="006A0EA9"/>
    <w:rsid w:val="006A3124"/>
    <w:rsid w:val="006A65CE"/>
    <w:rsid w:val="006A7642"/>
    <w:rsid w:val="006C0009"/>
    <w:rsid w:val="006C16CA"/>
    <w:rsid w:val="006D7590"/>
    <w:rsid w:val="006E548F"/>
    <w:rsid w:val="006E5736"/>
    <w:rsid w:val="006F1E75"/>
    <w:rsid w:val="00730BE3"/>
    <w:rsid w:val="00732EA2"/>
    <w:rsid w:val="00734F7F"/>
    <w:rsid w:val="00735087"/>
    <w:rsid w:val="00743E2A"/>
    <w:rsid w:val="00753336"/>
    <w:rsid w:val="007713B0"/>
    <w:rsid w:val="00775F89"/>
    <w:rsid w:val="0077698B"/>
    <w:rsid w:val="00782B67"/>
    <w:rsid w:val="007876AE"/>
    <w:rsid w:val="00787C1A"/>
    <w:rsid w:val="00790F8C"/>
    <w:rsid w:val="00794EFF"/>
    <w:rsid w:val="007A27C1"/>
    <w:rsid w:val="007A3D98"/>
    <w:rsid w:val="007A7BB8"/>
    <w:rsid w:val="007B49CF"/>
    <w:rsid w:val="007B7078"/>
    <w:rsid w:val="007C057F"/>
    <w:rsid w:val="007C105C"/>
    <w:rsid w:val="007C11CC"/>
    <w:rsid w:val="007C1717"/>
    <w:rsid w:val="007C2A78"/>
    <w:rsid w:val="007C2EA5"/>
    <w:rsid w:val="007D10E6"/>
    <w:rsid w:val="007E64CA"/>
    <w:rsid w:val="007F1D3B"/>
    <w:rsid w:val="007F6933"/>
    <w:rsid w:val="008000E3"/>
    <w:rsid w:val="008030C8"/>
    <w:rsid w:val="00806B47"/>
    <w:rsid w:val="00806D2A"/>
    <w:rsid w:val="0080761A"/>
    <w:rsid w:val="00812733"/>
    <w:rsid w:val="008141FA"/>
    <w:rsid w:val="00820726"/>
    <w:rsid w:val="0082250B"/>
    <w:rsid w:val="00827BA3"/>
    <w:rsid w:val="00830745"/>
    <w:rsid w:val="00830DCA"/>
    <w:rsid w:val="008340A2"/>
    <w:rsid w:val="0084180E"/>
    <w:rsid w:val="0084452F"/>
    <w:rsid w:val="00853F1E"/>
    <w:rsid w:val="008559EA"/>
    <w:rsid w:val="00862E1E"/>
    <w:rsid w:val="00863348"/>
    <w:rsid w:val="00876534"/>
    <w:rsid w:val="00881489"/>
    <w:rsid w:val="008A1650"/>
    <w:rsid w:val="008A1A5E"/>
    <w:rsid w:val="008A68E8"/>
    <w:rsid w:val="008A73A8"/>
    <w:rsid w:val="008B2835"/>
    <w:rsid w:val="008B758E"/>
    <w:rsid w:val="008C339F"/>
    <w:rsid w:val="008C5CF9"/>
    <w:rsid w:val="008E03C7"/>
    <w:rsid w:val="008E21A4"/>
    <w:rsid w:val="008E2D20"/>
    <w:rsid w:val="008E46BA"/>
    <w:rsid w:val="008E6926"/>
    <w:rsid w:val="008E7418"/>
    <w:rsid w:val="008F1B35"/>
    <w:rsid w:val="008F65CD"/>
    <w:rsid w:val="008F77C1"/>
    <w:rsid w:val="00904BC3"/>
    <w:rsid w:val="00904C46"/>
    <w:rsid w:val="009061AE"/>
    <w:rsid w:val="00911ED1"/>
    <w:rsid w:val="00920369"/>
    <w:rsid w:val="00920475"/>
    <w:rsid w:val="00920534"/>
    <w:rsid w:val="00923CDD"/>
    <w:rsid w:val="00927123"/>
    <w:rsid w:val="009327D3"/>
    <w:rsid w:val="00933C07"/>
    <w:rsid w:val="00934AE1"/>
    <w:rsid w:val="009518D8"/>
    <w:rsid w:val="0096603B"/>
    <w:rsid w:val="009700A9"/>
    <w:rsid w:val="00970BF5"/>
    <w:rsid w:val="00971F25"/>
    <w:rsid w:val="00972176"/>
    <w:rsid w:val="00973149"/>
    <w:rsid w:val="00980277"/>
    <w:rsid w:val="009863E3"/>
    <w:rsid w:val="00990353"/>
    <w:rsid w:val="00994EB4"/>
    <w:rsid w:val="009962FC"/>
    <w:rsid w:val="009974B2"/>
    <w:rsid w:val="009A5DC4"/>
    <w:rsid w:val="009B0B8F"/>
    <w:rsid w:val="009C11D0"/>
    <w:rsid w:val="009C268D"/>
    <w:rsid w:val="009D02DE"/>
    <w:rsid w:val="009E3242"/>
    <w:rsid w:val="009E4324"/>
    <w:rsid w:val="009F34FD"/>
    <w:rsid w:val="009F7BC3"/>
    <w:rsid w:val="00A01A02"/>
    <w:rsid w:val="00A107E1"/>
    <w:rsid w:val="00A27E5A"/>
    <w:rsid w:val="00A304EF"/>
    <w:rsid w:val="00A3251F"/>
    <w:rsid w:val="00A35242"/>
    <w:rsid w:val="00A37F99"/>
    <w:rsid w:val="00A402A7"/>
    <w:rsid w:val="00A41146"/>
    <w:rsid w:val="00A42E91"/>
    <w:rsid w:val="00A4709D"/>
    <w:rsid w:val="00A50A44"/>
    <w:rsid w:val="00A66685"/>
    <w:rsid w:val="00A726D6"/>
    <w:rsid w:val="00A75415"/>
    <w:rsid w:val="00A778D3"/>
    <w:rsid w:val="00A85A1A"/>
    <w:rsid w:val="00A91F30"/>
    <w:rsid w:val="00AA15F6"/>
    <w:rsid w:val="00AA2F31"/>
    <w:rsid w:val="00AA7685"/>
    <w:rsid w:val="00AB6249"/>
    <w:rsid w:val="00AB7E1F"/>
    <w:rsid w:val="00AD1AC8"/>
    <w:rsid w:val="00AD6F83"/>
    <w:rsid w:val="00AE5947"/>
    <w:rsid w:val="00AF3D3F"/>
    <w:rsid w:val="00AF5853"/>
    <w:rsid w:val="00AF5A51"/>
    <w:rsid w:val="00B00EAA"/>
    <w:rsid w:val="00B01ED8"/>
    <w:rsid w:val="00B1278A"/>
    <w:rsid w:val="00B12DAF"/>
    <w:rsid w:val="00B20DC1"/>
    <w:rsid w:val="00B30196"/>
    <w:rsid w:val="00B57B92"/>
    <w:rsid w:val="00B7198D"/>
    <w:rsid w:val="00B85856"/>
    <w:rsid w:val="00B90969"/>
    <w:rsid w:val="00B91090"/>
    <w:rsid w:val="00B916F8"/>
    <w:rsid w:val="00B92419"/>
    <w:rsid w:val="00B93058"/>
    <w:rsid w:val="00B94E21"/>
    <w:rsid w:val="00B96ADC"/>
    <w:rsid w:val="00BA5E1A"/>
    <w:rsid w:val="00BA7B9E"/>
    <w:rsid w:val="00BB2E52"/>
    <w:rsid w:val="00BB365C"/>
    <w:rsid w:val="00BC12CA"/>
    <w:rsid w:val="00BC35A9"/>
    <w:rsid w:val="00BC53DA"/>
    <w:rsid w:val="00BD6021"/>
    <w:rsid w:val="00BE2C40"/>
    <w:rsid w:val="00BE4326"/>
    <w:rsid w:val="00BE4740"/>
    <w:rsid w:val="00C0071A"/>
    <w:rsid w:val="00C00C38"/>
    <w:rsid w:val="00C07EE3"/>
    <w:rsid w:val="00C13DC3"/>
    <w:rsid w:val="00C27BEC"/>
    <w:rsid w:val="00C45E0B"/>
    <w:rsid w:val="00C70E2E"/>
    <w:rsid w:val="00C7582A"/>
    <w:rsid w:val="00C8033E"/>
    <w:rsid w:val="00C83DFE"/>
    <w:rsid w:val="00C8698B"/>
    <w:rsid w:val="00C95A56"/>
    <w:rsid w:val="00C9698B"/>
    <w:rsid w:val="00C96CC9"/>
    <w:rsid w:val="00CA3E23"/>
    <w:rsid w:val="00CA7952"/>
    <w:rsid w:val="00CB1B46"/>
    <w:rsid w:val="00CC4F21"/>
    <w:rsid w:val="00CC52AF"/>
    <w:rsid w:val="00CE197A"/>
    <w:rsid w:val="00CE27B4"/>
    <w:rsid w:val="00CE5846"/>
    <w:rsid w:val="00CF0A98"/>
    <w:rsid w:val="00CF0E2D"/>
    <w:rsid w:val="00CF457A"/>
    <w:rsid w:val="00CF5E87"/>
    <w:rsid w:val="00D019C6"/>
    <w:rsid w:val="00D02484"/>
    <w:rsid w:val="00D02BA8"/>
    <w:rsid w:val="00D04842"/>
    <w:rsid w:val="00D35F5A"/>
    <w:rsid w:val="00D54FAD"/>
    <w:rsid w:val="00D666E8"/>
    <w:rsid w:val="00D726FF"/>
    <w:rsid w:val="00D87D08"/>
    <w:rsid w:val="00D92F03"/>
    <w:rsid w:val="00D96017"/>
    <w:rsid w:val="00D96521"/>
    <w:rsid w:val="00D9708A"/>
    <w:rsid w:val="00D9748E"/>
    <w:rsid w:val="00DA1DCD"/>
    <w:rsid w:val="00DA20E1"/>
    <w:rsid w:val="00DA434A"/>
    <w:rsid w:val="00DA50EA"/>
    <w:rsid w:val="00DA5A62"/>
    <w:rsid w:val="00DA6132"/>
    <w:rsid w:val="00DA70DF"/>
    <w:rsid w:val="00DC4B37"/>
    <w:rsid w:val="00DC5FDC"/>
    <w:rsid w:val="00DC6380"/>
    <w:rsid w:val="00DD44DD"/>
    <w:rsid w:val="00DE2443"/>
    <w:rsid w:val="00DE5E69"/>
    <w:rsid w:val="00DF356A"/>
    <w:rsid w:val="00DF74C6"/>
    <w:rsid w:val="00E0037E"/>
    <w:rsid w:val="00E00701"/>
    <w:rsid w:val="00E00CDE"/>
    <w:rsid w:val="00E0308A"/>
    <w:rsid w:val="00E04FFF"/>
    <w:rsid w:val="00E05046"/>
    <w:rsid w:val="00E1055B"/>
    <w:rsid w:val="00E11519"/>
    <w:rsid w:val="00E13C25"/>
    <w:rsid w:val="00E14F80"/>
    <w:rsid w:val="00E15A60"/>
    <w:rsid w:val="00E17C51"/>
    <w:rsid w:val="00E43DA2"/>
    <w:rsid w:val="00E63103"/>
    <w:rsid w:val="00E76D64"/>
    <w:rsid w:val="00E87B94"/>
    <w:rsid w:val="00E923E5"/>
    <w:rsid w:val="00EB438E"/>
    <w:rsid w:val="00EB498E"/>
    <w:rsid w:val="00EE211C"/>
    <w:rsid w:val="00EF0754"/>
    <w:rsid w:val="00EF7EAB"/>
    <w:rsid w:val="00F027E5"/>
    <w:rsid w:val="00F11938"/>
    <w:rsid w:val="00F16931"/>
    <w:rsid w:val="00F176F7"/>
    <w:rsid w:val="00F22EDC"/>
    <w:rsid w:val="00F27E1B"/>
    <w:rsid w:val="00F3701A"/>
    <w:rsid w:val="00F3763B"/>
    <w:rsid w:val="00F40106"/>
    <w:rsid w:val="00F4126F"/>
    <w:rsid w:val="00F42432"/>
    <w:rsid w:val="00F46020"/>
    <w:rsid w:val="00F476DF"/>
    <w:rsid w:val="00F55309"/>
    <w:rsid w:val="00F614B4"/>
    <w:rsid w:val="00F61E81"/>
    <w:rsid w:val="00F62F24"/>
    <w:rsid w:val="00F708BA"/>
    <w:rsid w:val="00F71E3B"/>
    <w:rsid w:val="00F8335E"/>
    <w:rsid w:val="00F85E6F"/>
    <w:rsid w:val="00F925FD"/>
    <w:rsid w:val="00F92640"/>
    <w:rsid w:val="00F92AA9"/>
    <w:rsid w:val="00FA4155"/>
    <w:rsid w:val="00FB29F4"/>
    <w:rsid w:val="00FC0C80"/>
    <w:rsid w:val="00FC0C8C"/>
    <w:rsid w:val="00FC1001"/>
    <w:rsid w:val="00FC2E2A"/>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36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286F22"/>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qFormat/>
    <w:rsid w:val="00BC35A9"/>
    <w:pPr>
      <w:numPr>
        <w:ilvl w:val="2"/>
        <w:numId w:val="6"/>
      </w:numPr>
      <w:tabs>
        <w:tab w:val="num" w:pos="1440"/>
      </w:tabs>
      <w:spacing w:before="60" w:after="60"/>
      <w:ind w:left="1440" w:hanging="540"/>
      <w:outlineLvl w:val="2"/>
    </w:pPr>
    <w:rPr>
      <w:rFonts w:ascii="Arial" w:eastAsia="Times New Roman" w:hAnsi="Arial" w:cs="Arial"/>
    </w:rPr>
  </w:style>
  <w:style w:type="paragraph" w:styleId="Heading4">
    <w:name w:val="heading 4"/>
    <w:basedOn w:val="Normal"/>
    <w:next w:val="Normal"/>
    <w:link w:val="Heading4Char"/>
    <w:qFormat/>
    <w:rsid w:val="00600B30"/>
    <w:pPr>
      <w:numPr>
        <w:ilvl w:val="3"/>
        <w:numId w:val="6"/>
      </w:numPr>
      <w:tabs>
        <w:tab w:val="left" w:pos="2340"/>
      </w:tabs>
      <w:spacing w:before="60" w:after="60"/>
      <w:ind w:left="2340" w:hanging="900"/>
      <w:outlineLvl w:val="3"/>
    </w:pPr>
    <w:rPr>
      <w:rFonts w:ascii="Arial" w:eastAsia="Times New Roman" w:hAnsi="Arial" w:cs="Arial"/>
    </w:rPr>
  </w:style>
  <w:style w:type="paragraph" w:styleId="Heading5">
    <w:name w:val="heading 5"/>
    <w:basedOn w:val="Normal"/>
    <w:next w:val="Normal"/>
    <w:link w:val="Heading5Char"/>
    <w:qFormat/>
    <w:rsid w:val="00600B30"/>
    <w:pPr>
      <w:numPr>
        <w:ilvl w:val="4"/>
        <w:numId w:val="6"/>
      </w:numPr>
      <w:tabs>
        <w:tab w:val="num" w:pos="-990"/>
      </w:tabs>
      <w:spacing w:before="60" w:after="60"/>
      <w:ind w:left="3330" w:hanging="990"/>
      <w:outlineLvl w:val="4"/>
    </w:pPr>
    <w:rPr>
      <w:rFonts w:ascii="Arial" w:hAnsi="Arial" w:cs="Arial"/>
    </w:rPr>
  </w:style>
  <w:style w:type="paragraph" w:styleId="Heading6">
    <w:name w:val="heading 6"/>
    <w:basedOn w:val="Normal"/>
    <w:next w:val="Normal"/>
    <w:link w:val="Heading6Char"/>
    <w:autoRedefine/>
    <w:qFormat/>
    <w:rsid w:val="00600B30"/>
    <w:pPr>
      <w:numPr>
        <w:ilvl w:val="5"/>
        <w:numId w:val="6"/>
      </w:numPr>
      <w:tabs>
        <w:tab w:val="num" w:pos="-2520"/>
      </w:tabs>
      <w:spacing w:before="60" w:after="60"/>
      <w:ind w:left="4410" w:hanging="1080"/>
      <w:outlineLvl w:val="5"/>
    </w:pPr>
    <w:rPr>
      <w:rFonts w:ascii="Arial" w:eastAsia="Times New Roman" w:hAnsi="Arial" w:cs="Arial"/>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F89"/>
    <w:rPr>
      <w:rFonts w:ascii="Cambria" w:hAnsi="Cambria" w:cs="Times New Roman"/>
      <w:b/>
      <w:bCs/>
      <w:i/>
      <w:iCs/>
      <w:sz w:val="28"/>
      <w:szCs w:val="28"/>
    </w:rPr>
  </w:style>
  <w:style w:type="character" w:customStyle="1" w:styleId="Heading3Char">
    <w:name w:val="Heading 3 Char"/>
    <w:basedOn w:val="DefaultParagraphFont"/>
    <w:link w:val="Heading3"/>
    <w:locked/>
    <w:rsid w:val="00BC35A9"/>
    <w:rPr>
      <w:rFonts w:ascii="Arial" w:hAnsi="Arial" w:cs="Arial"/>
      <w:sz w:val="20"/>
      <w:szCs w:val="20"/>
    </w:rPr>
  </w:style>
  <w:style w:type="character" w:customStyle="1" w:styleId="Heading4Char">
    <w:name w:val="Heading 4 Char"/>
    <w:basedOn w:val="DefaultParagraphFont"/>
    <w:link w:val="Heading4"/>
    <w:locked/>
    <w:rsid w:val="00600B30"/>
    <w:rPr>
      <w:rFonts w:ascii="Arial" w:hAnsi="Arial" w:cs="Arial"/>
      <w:sz w:val="20"/>
      <w:szCs w:val="20"/>
    </w:rPr>
  </w:style>
  <w:style w:type="character" w:customStyle="1" w:styleId="Heading5Char">
    <w:name w:val="Heading 5 Char"/>
    <w:basedOn w:val="DefaultParagraphFont"/>
    <w:link w:val="Heading5"/>
    <w:locked/>
    <w:rsid w:val="00600B30"/>
    <w:rPr>
      <w:rFonts w:ascii="Arial" w:eastAsia="MS Mincho" w:hAnsi="Arial" w:cs="Arial"/>
      <w:sz w:val="20"/>
      <w:szCs w:val="20"/>
    </w:rPr>
  </w:style>
  <w:style w:type="character" w:customStyle="1" w:styleId="Heading6Char">
    <w:name w:val="Heading 6 Char"/>
    <w:basedOn w:val="DefaultParagraphFont"/>
    <w:link w:val="Heading6"/>
    <w:locked/>
    <w:rsid w:val="00600B30"/>
    <w:rPr>
      <w:rFonts w:ascii="Arial" w:hAnsi="Arial" w:cs="Arial"/>
      <w:sz w:val="20"/>
      <w:szCs w:val="20"/>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2013-07-24T05:00:00+00:00</Revised_x0020_Date>
    <Standard_x0020_or_x0020_Attachment_x003f_ xmlns="64162d5b-7865-4a0f-87c1-6c7dc75ec617">Standard/Spec</Standard_x0020_or_x0020_Attachment_x003f_>
    <Prgm_x0020_Owner xmlns="64162d5b-7865-4a0f-87c1-6c7dc75ec617">Matt Jones</Prgm_x0020_Owner>
    <Program_Rqrd_x003f_ xmlns="64162d5b-7865-4a0f-87c1-6c7dc75ec617">true</Program_Rqrd_x003f_>
    <Std_x0023_ xmlns="64162d5b-7865-4a0f-87c1-6c7dc75ec617">06.13</Std_x0023_>
    <Effective_x0020_Date xmlns="64162d5b-7865-4a0f-87c1-6c7dc75ec617">2013-12-30T06:00:00+00:00</Effective_x0020_Date>
    <ESH_x0020_Standard xmlns="64162d5b-7865-4a0f-87c1-6c7dc75ec617">
      <Url>https://sps16.itg.ti.com/sites/Standards/ACP_DCP/Forms/Approved.aspx</Url>
      <Description>https://sps16.itg.ti.com/sites/Standards/ACP_DCP/Forms/Approved.aspx</Description>
    </ESH_x0020_Standard>
  </documentManagement>
</p:properties>
</file>

<file path=customXml/itemProps1.xml><?xml version="1.0" encoding="utf-8"?>
<ds:datastoreItem xmlns:ds="http://schemas.openxmlformats.org/officeDocument/2006/customXml" ds:itemID="{334D1F8E-83DA-4CD3-9D60-35EC6BB75415}"/>
</file>

<file path=customXml/itemProps2.xml><?xml version="1.0" encoding="utf-8"?>
<ds:datastoreItem xmlns:ds="http://schemas.openxmlformats.org/officeDocument/2006/customXml" ds:itemID="{0284E6A6-0F8A-4186-A8C3-FD9AF2A6FF73}"/>
</file>

<file path=customXml/itemProps3.xml><?xml version="1.0" encoding="utf-8"?>
<ds:datastoreItem xmlns:ds="http://schemas.openxmlformats.org/officeDocument/2006/customXml" ds:itemID="{A2C92F22-DFA0-4E63-B86F-C7E59E16A864}"/>
</file>

<file path=docProps/app.xml><?xml version="1.0" encoding="utf-8"?>
<Properties xmlns="http://schemas.openxmlformats.org/officeDocument/2006/extended-properties" xmlns:vt="http://schemas.openxmlformats.org/officeDocument/2006/docPropsVTypes">
  <Template>Normal.dotm</Template>
  <TotalTime>9</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Equipment Installation</vt:lpstr>
    </vt:vector>
  </TitlesOfParts>
  <Manager>Brenda L. Harrison</Manager>
  <Company>WWF-ESH Services</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Installation</dc:title>
  <dc:subject>01.01 PPE STandard</dc:subject>
  <dc:creator>Christie Lotspeich</dc:creator>
  <cp:keywords/>
  <dc:description/>
  <cp:lastModifiedBy>a0868896</cp:lastModifiedBy>
  <cp:revision>5</cp:revision>
  <cp:lastPrinted>2013-02-12T16:14:00Z</cp:lastPrinted>
  <dcterms:created xsi:type="dcterms:W3CDTF">2013-09-20T21:43:00Z</dcterms:created>
  <dcterms:modified xsi:type="dcterms:W3CDTF">2018-01-02T18:46:00Z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https://sps01.itg.ti.com/sites/wwf/esh/standards/Lists/KB-Electrical_Mechanical/AllItems.aspxElectrical / Mechanical</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